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66" w:rsidRDefault="00A2119D">
      <w:pPr>
        <w:spacing w:before="2400" w:line="773" w:lineRule="exact"/>
        <w:jc w:val="center"/>
        <w:rPr>
          <w:rFonts w:ascii="宋体" w:eastAsia="宋体" w:hAnsi="宋体" w:cs="宋体"/>
          <w:b/>
          <w:bCs/>
          <w:sz w:val="36"/>
          <w:szCs w:val="36"/>
        </w:rPr>
      </w:pPr>
      <w:r>
        <w:rPr>
          <w:rFonts w:ascii="宋体" w:eastAsia="宋体" w:hAnsi="宋体" w:cs="宋体"/>
          <w:b/>
          <w:bCs/>
          <w:sz w:val="36"/>
          <w:szCs w:val="36"/>
        </w:rPr>
        <w:t>广东甘化科工股份有限公司</w:t>
      </w:r>
    </w:p>
    <w:p w:rsidR="00A27D66" w:rsidRDefault="00A2119D">
      <w:pPr>
        <w:spacing w:before="1000" w:line="240" w:lineRule="exact"/>
        <w:jc w:val="center"/>
        <w:rPr>
          <w:rFonts w:ascii="宋体" w:eastAsia="宋体" w:hAnsi="宋体" w:cs="宋体"/>
          <w:b/>
          <w:bCs/>
          <w:sz w:val="32"/>
          <w:szCs w:val="32"/>
        </w:rPr>
      </w:pPr>
      <w:r>
        <w:rPr>
          <w:rFonts w:ascii="宋体" w:eastAsia="宋体" w:hAnsi="宋体" w:cs="宋体"/>
          <w:b/>
          <w:bCs/>
          <w:sz w:val="32"/>
          <w:szCs w:val="32"/>
        </w:rPr>
        <w:t>2024年度报告</w:t>
      </w:r>
    </w:p>
    <w:p w:rsidR="00A27D66" w:rsidRDefault="00A27D66">
      <w:pPr>
        <w:spacing w:before="1000" w:line="240" w:lineRule="exact"/>
        <w:jc w:val="center"/>
        <w:rPr>
          <w:rFonts w:ascii="宋体" w:eastAsia="宋体" w:hAnsi="宋体" w:cs="宋体"/>
          <w:b/>
          <w:bCs/>
          <w:szCs w:val="21"/>
        </w:rPr>
      </w:pPr>
    </w:p>
    <w:p w:rsidR="00A27D66" w:rsidRDefault="00A27D66">
      <w:pPr>
        <w:spacing w:before="1000" w:after="1000" w:line="0" w:lineRule="atLeast"/>
        <w:jc w:val="center"/>
        <w:rPr>
          <w:rFonts w:ascii="Times New Roman" w:eastAsia="宋体" w:hAnsi="Times New Roman" w:cs="Times New Roman"/>
        </w:rPr>
      </w:pPr>
    </w:p>
    <w:p w:rsidR="00A27D66" w:rsidRDefault="00A2119D">
      <w:pPr>
        <w:spacing w:before="400" w:line="320" w:lineRule="exact"/>
        <w:jc w:val="center"/>
        <w:rPr>
          <w:rFonts w:ascii="宋体" w:eastAsia="宋体" w:hAnsi="宋体" w:cs="宋体"/>
          <w:b/>
          <w:bCs/>
          <w:sz w:val="32"/>
          <w:szCs w:val="32"/>
        </w:rPr>
      </w:pPr>
      <w:r>
        <w:rPr>
          <w:rFonts w:ascii="宋体" w:eastAsia="宋体" w:hAnsi="宋体" w:cs="宋体"/>
          <w:b/>
          <w:bCs/>
          <w:sz w:val="32"/>
          <w:szCs w:val="32"/>
        </w:rPr>
        <w:t>【</w:t>
      </w:r>
      <w:r>
        <w:rPr>
          <w:rFonts w:ascii="宋体" w:eastAsia="宋体" w:hAnsi="宋体" w:cs="宋体" w:hint="eastAsia"/>
          <w:b/>
          <w:bCs/>
          <w:sz w:val="32"/>
          <w:szCs w:val="32"/>
        </w:rPr>
        <w:t>2</w:t>
      </w:r>
      <w:r>
        <w:rPr>
          <w:rFonts w:ascii="宋体" w:eastAsia="宋体" w:hAnsi="宋体" w:cs="宋体"/>
          <w:b/>
          <w:bCs/>
          <w:sz w:val="32"/>
          <w:szCs w:val="32"/>
        </w:rPr>
        <w:t>025</w:t>
      </w:r>
      <w:r>
        <w:rPr>
          <w:rFonts w:ascii="宋体" w:eastAsia="宋体" w:hAnsi="宋体" w:cs="宋体" w:hint="eastAsia"/>
          <w:b/>
          <w:bCs/>
          <w:sz w:val="32"/>
          <w:szCs w:val="32"/>
        </w:rPr>
        <w:t>年4月</w:t>
      </w:r>
      <w:r>
        <w:rPr>
          <w:rFonts w:ascii="宋体" w:eastAsia="宋体" w:hAnsi="宋体" w:cs="宋体"/>
          <w:b/>
          <w:bCs/>
          <w:sz w:val="32"/>
          <w:szCs w:val="32"/>
        </w:rPr>
        <w:t>】</w:t>
      </w:r>
    </w:p>
    <w:p w:rsidR="00A27D66" w:rsidRDefault="00A2119D">
      <w:r>
        <w:br w:type="page"/>
      </w:r>
    </w:p>
    <w:p w:rsidR="00A27D66" w:rsidRDefault="00A2119D">
      <w:pPr>
        <w:spacing w:before="1000" w:after="40" w:line="440" w:lineRule="exact"/>
        <w:jc w:val="center"/>
        <w:rPr>
          <w:rFonts w:ascii="宋体" w:eastAsia="宋体" w:hAnsi="宋体" w:cs="宋体"/>
          <w:b/>
          <w:bCs/>
          <w:sz w:val="44"/>
          <w:szCs w:val="44"/>
        </w:rPr>
      </w:pPr>
      <w:r>
        <w:rPr>
          <w:rFonts w:ascii="宋体" w:eastAsia="宋体" w:hAnsi="宋体" w:cs="宋体"/>
          <w:b/>
          <w:bCs/>
          <w:sz w:val="44"/>
          <w:szCs w:val="44"/>
        </w:rPr>
        <w:lastRenderedPageBreak/>
        <w:t>2024年度报告</w:t>
      </w:r>
    </w:p>
    <w:p w:rsidR="00A27D66" w:rsidRDefault="00A2119D">
      <w:pPr>
        <w:pStyle w:val="headingh1"/>
        <w:spacing w:before="340" w:after="330" w:line="773" w:lineRule="exact"/>
        <w:jc w:val="center"/>
        <w:rPr>
          <w:rFonts w:ascii="宋体" w:eastAsia="宋体" w:hAnsi="宋体" w:cs="宋体"/>
          <w:b/>
          <w:bCs/>
          <w:sz w:val="32"/>
          <w:szCs w:val="32"/>
        </w:rPr>
      </w:pPr>
      <w:bookmarkStart w:id="0" w:name="_Toc988889"/>
      <w:r>
        <w:rPr>
          <w:rFonts w:ascii="宋体" w:eastAsia="宋体" w:hAnsi="宋体" w:cs="宋体"/>
          <w:b/>
          <w:bCs/>
          <w:sz w:val="32"/>
          <w:szCs w:val="32"/>
        </w:rPr>
        <w:t>第一节 重要提示、目录和释义</w:t>
      </w:r>
      <w:bookmarkEnd w:id="0"/>
    </w:p>
    <w:p w:rsidR="002D2D6B" w:rsidRDefault="00A2119D" w:rsidP="002D2D6B">
      <w:pPr>
        <w:spacing w:before="40" w:after="40" w:line="560" w:lineRule="exact"/>
        <w:ind w:firstLineChars="200" w:firstLine="482"/>
        <w:rPr>
          <w:rFonts w:ascii="宋体" w:eastAsia="宋体" w:hAnsi="宋体" w:cs="宋体"/>
          <w:b/>
          <w:bCs/>
          <w:sz w:val="24"/>
          <w:szCs w:val="24"/>
        </w:rPr>
      </w:pPr>
      <w:r w:rsidRPr="00445CD1">
        <w:rPr>
          <w:rFonts w:ascii="宋体" w:eastAsia="宋体" w:hAnsi="宋体" w:cs="宋体"/>
          <w:b/>
          <w:bCs/>
          <w:sz w:val="24"/>
          <w:szCs w:val="24"/>
        </w:rPr>
        <w:t>公司董事会、监事会及董事、监事、高级管理人员保证年度报告内容的真实、准确、完整，不存在虚假记载、误导性陈述或重大遗漏，并承担个别和连带的法律责任。</w:t>
      </w:r>
    </w:p>
    <w:p w:rsidR="002D2D6B" w:rsidRDefault="00A2119D" w:rsidP="002D2D6B">
      <w:pPr>
        <w:spacing w:before="40" w:after="40" w:line="560" w:lineRule="exact"/>
        <w:ind w:firstLineChars="200" w:firstLine="482"/>
        <w:rPr>
          <w:rFonts w:ascii="宋体" w:eastAsia="宋体" w:hAnsi="宋体" w:cs="宋体"/>
          <w:b/>
          <w:bCs/>
          <w:sz w:val="24"/>
          <w:szCs w:val="24"/>
        </w:rPr>
      </w:pPr>
      <w:r w:rsidRPr="00445CD1">
        <w:rPr>
          <w:rFonts w:ascii="宋体" w:eastAsia="宋体" w:hAnsi="宋体" w:cs="宋体"/>
          <w:b/>
          <w:bCs/>
          <w:sz w:val="24"/>
          <w:szCs w:val="24"/>
        </w:rPr>
        <w:t>公司负责人李忠、主管会计工作负责人彭占凯及会计机构负责人（会计主管人员）</w:t>
      </w:r>
      <w:proofErr w:type="gramStart"/>
      <w:r w:rsidRPr="00445CD1">
        <w:rPr>
          <w:rFonts w:ascii="宋体" w:eastAsia="宋体" w:hAnsi="宋体" w:cs="宋体"/>
          <w:b/>
          <w:bCs/>
          <w:sz w:val="24"/>
          <w:szCs w:val="24"/>
        </w:rPr>
        <w:t>徐佳君</w:t>
      </w:r>
      <w:proofErr w:type="gramEnd"/>
      <w:r w:rsidRPr="00445CD1">
        <w:rPr>
          <w:rFonts w:ascii="宋体" w:eastAsia="宋体" w:hAnsi="宋体" w:cs="宋体"/>
          <w:b/>
          <w:bCs/>
          <w:sz w:val="24"/>
          <w:szCs w:val="24"/>
        </w:rPr>
        <w:t>声明：保证本年度报告中财务报告的真实、准确、完整。</w:t>
      </w:r>
    </w:p>
    <w:p w:rsidR="002D2D6B" w:rsidRDefault="00A2119D" w:rsidP="002D2D6B">
      <w:pPr>
        <w:spacing w:before="40" w:after="40" w:line="560" w:lineRule="exact"/>
        <w:ind w:firstLineChars="200" w:firstLine="482"/>
        <w:rPr>
          <w:rFonts w:ascii="宋体" w:eastAsia="宋体" w:hAnsi="宋体" w:cs="宋体"/>
          <w:b/>
          <w:bCs/>
          <w:sz w:val="24"/>
          <w:szCs w:val="24"/>
        </w:rPr>
      </w:pPr>
      <w:r w:rsidRPr="00445CD1">
        <w:rPr>
          <w:rFonts w:ascii="宋体" w:eastAsia="宋体" w:hAnsi="宋体" w:cs="宋体"/>
          <w:b/>
          <w:bCs/>
          <w:sz w:val="24"/>
          <w:szCs w:val="24"/>
        </w:rPr>
        <w:t>所有董事均</w:t>
      </w:r>
      <w:proofErr w:type="gramStart"/>
      <w:r w:rsidRPr="00445CD1">
        <w:rPr>
          <w:rFonts w:ascii="宋体" w:eastAsia="宋体" w:hAnsi="宋体" w:cs="宋体"/>
          <w:b/>
          <w:bCs/>
          <w:sz w:val="24"/>
          <w:szCs w:val="24"/>
        </w:rPr>
        <w:t>已出席</w:t>
      </w:r>
      <w:proofErr w:type="gramEnd"/>
      <w:r w:rsidRPr="00445CD1">
        <w:rPr>
          <w:rFonts w:ascii="宋体" w:eastAsia="宋体" w:hAnsi="宋体" w:cs="宋体"/>
          <w:b/>
          <w:bCs/>
          <w:sz w:val="24"/>
          <w:szCs w:val="24"/>
        </w:rPr>
        <w:t>了审议本报告的董事会会议。</w:t>
      </w:r>
    </w:p>
    <w:p w:rsidR="002D2D6B" w:rsidRPr="002D2D6B" w:rsidRDefault="00A2119D" w:rsidP="002D2D6B">
      <w:pPr>
        <w:spacing w:before="40" w:after="40" w:line="560" w:lineRule="exact"/>
        <w:ind w:firstLineChars="200" w:firstLine="482"/>
        <w:rPr>
          <w:rFonts w:ascii="宋体" w:eastAsia="宋体" w:hAnsi="宋体" w:cs="宋体"/>
          <w:b/>
          <w:bCs/>
          <w:sz w:val="24"/>
          <w:szCs w:val="24"/>
        </w:rPr>
      </w:pPr>
      <w:r w:rsidRPr="002D2D6B">
        <w:rPr>
          <w:rFonts w:ascii="宋体" w:eastAsia="宋体" w:hAnsi="宋体" w:cs="宋体" w:hint="eastAsia"/>
          <w:b/>
          <w:bCs/>
          <w:sz w:val="24"/>
          <w:szCs w:val="24"/>
        </w:rPr>
        <w:t>本报告中所涉及的公司未来计划、发展战略等前瞻性描述不构成公司对投资者的实质承诺，投资者及相关人士均应当对此保持足够的风险认识，并且应当理解计划、预测与承诺之间的差异，敬请投资者注意投资风险。</w:t>
      </w:r>
    </w:p>
    <w:p w:rsidR="002D2D6B" w:rsidRDefault="00A2119D" w:rsidP="002D2D6B">
      <w:pPr>
        <w:spacing w:before="40" w:after="40" w:line="560" w:lineRule="exact"/>
        <w:ind w:firstLineChars="200" w:firstLine="482"/>
        <w:rPr>
          <w:rFonts w:ascii="宋体" w:eastAsia="宋体" w:hAnsi="宋体" w:cs="宋体"/>
          <w:b/>
          <w:bCs/>
          <w:sz w:val="24"/>
          <w:szCs w:val="24"/>
        </w:rPr>
      </w:pPr>
      <w:r w:rsidRPr="002D2D6B">
        <w:rPr>
          <w:rFonts w:ascii="宋体" w:eastAsia="宋体" w:hAnsi="宋体" w:cs="宋体" w:hint="eastAsia"/>
          <w:b/>
          <w:bCs/>
          <w:sz w:val="24"/>
          <w:szCs w:val="24"/>
        </w:rPr>
        <w:t>公司已在本报告“第三节 经营情况讨论与分析”之“十一、（四）可能面对的风险及应对措施”中详细描述公司可能存在的风险因素，敬请投资者注意投资风险。</w:t>
      </w:r>
    </w:p>
    <w:p w:rsidR="00A27D66" w:rsidRPr="00445CD1" w:rsidRDefault="00A2119D" w:rsidP="002D2D6B">
      <w:pPr>
        <w:spacing w:before="40" w:after="40" w:line="560" w:lineRule="exact"/>
        <w:ind w:firstLineChars="200" w:firstLine="482"/>
        <w:rPr>
          <w:rFonts w:ascii="宋体" w:eastAsia="宋体" w:hAnsi="宋体" w:cs="宋体"/>
          <w:b/>
          <w:bCs/>
          <w:sz w:val="24"/>
          <w:szCs w:val="24"/>
        </w:rPr>
      </w:pPr>
      <w:r w:rsidRPr="00445CD1">
        <w:rPr>
          <w:rFonts w:ascii="宋体" w:eastAsia="宋体" w:hAnsi="宋体" w:cs="宋体"/>
          <w:b/>
          <w:bCs/>
          <w:sz w:val="24"/>
          <w:szCs w:val="24"/>
        </w:rPr>
        <w:t>公司计划</w:t>
      </w:r>
      <w:proofErr w:type="gramStart"/>
      <w:r w:rsidRPr="00445CD1">
        <w:rPr>
          <w:rFonts w:ascii="宋体" w:eastAsia="宋体" w:hAnsi="宋体" w:cs="宋体"/>
          <w:b/>
          <w:bCs/>
          <w:sz w:val="24"/>
          <w:szCs w:val="24"/>
        </w:rPr>
        <w:t>不</w:t>
      </w:r>
      <w:proofErr w:type="gramEnd"/>
      <w:r w:rsidRPr="00445CD1">
        <w:rPr>
          <w:rFonts w:ascii="宋体" w:eastAsia="宋体" w:hAnsi="宋体" w:cs="宋体"/>
          <w:b/>
          <w:bCs/>
          <w:sz w:val="24"/>
          <w:szCs w:val="24"/>
        </w:rPr>
        <w:t>派发现金红利，不送红股，不以公积金转增股本。</w:t>
      </w:r>
    </w:p>
    <w:p w:rsidR="00A27D66" w:rsidRDefault="00A2119D">
      <w:r>
        <w:br w:type="page"/>
      </w:r>
    </w:p>
    <w:p w:rsidR="00A27D66" w:rsidRDefault="00A2119D">
      <w:pPr>
        <w:spacing w:line="720" w:lineRule="exact"/>
        <w:jc w:val="center"/>
        <w:rPr>
          <w:rFonts w:ascii="宋体" w:eastAsia="宋体" w:hAnsi="宋体" w:cs="宋体"/>
          <w:b/>
          <w:bCs/>
          <w:sz w:val="36"/>
          <w:szCs w:val="36"/>
        </w:rPr>
      </w:pPr>
      <w:r>
        <w:rPr>
          <w:rFonts w:ascii="宋体" w:eastAsia="宋体" w:hAnsi="宋体" w:cs="宋体"/>
          <w:b/>
          <w:bCs/>
          <w:sz w:val="36"/>
          <w:szCs w:val="36"/>
        </w:rPr>
        <w:lastRenderedPageBreak/>
        <w:t>目录</w:t>
      </w:r>
    </w:p>
    <w:p w:rsidR="00A27D66" w:rsidRPr="00277E5D" w:rsidRDefault="00A2119D" w:rsidP="00277E5D">
      <w:pPr>
        <w:pStyle w:val="1"/>
        <w:spacing w:line="480" w:lineRule="auto"/>
        <w:rPr>
          <w:rFonts w:ascii="宋体" w:eastAsia="宋体" w:hAnsi="宋体"/>
          <w:noProof/>
          <w:sz w:val="24"/>
          <w:szCs w:val="24"/>
        </w:rPr>
      </w:pPr>
      <w:r w:rsidRPr="00A2119D">
        <w:fldChar w:fldCharType="begin"/>
      </w:r>
      <w:r w:rsidRPr="00A2119D">
        <w:instrText xml:space="preserve"> </w:instrText>
      </w:r>
      <w:r w:rsidRPr="00A2119D">
        <w:rPr>
          <w:rFonts w:hint="eastAsia"/>
        </w:rPr>
        <w:instrText>TOC \o "1-2" \h \z \u</w:instrText>
      </w:r>
      <w:r w:rsidRPr="00A2119D">
        <w:instrText xml:space="preserve"> </w:instrText>
      </w:r>
      <w:r w:rsidRPr="00A2119D">
        <w:fldChar w:fldCharType="separate"/>
      </w:r>
      <w:hyperlink w:anchor="_Toc988889" w:history="1">
        <w:r w:rsidRPr="00277E5D">
          <w:rPr>
            <w:rFonts w:ascii="宋体" w:eastAsia="宋体" w:hAnsi="宋体" w:hint="eastAsia"/>
            <w:b/>
            <w:bCs/>
            <w:noProof/>
            <w:sz w:val="24"/>
            <w:szCs w:val="24"/>
          </w:rPr>
          <w:t>第一节 重要提示、目录和释义</w:t>
        </w:r>
        <w:r w:rsidRPr="00277E5D">
          <w:rPr>
            <w:rFonts w:ascii="宋体" w:eastAsia="宋体" w:hAnsi="宋体"/>
            <w:noProof/>
            <w:webHidden/>
            <w:sz w:val="24"/>
            <w:szCs w:val="24"/>
          </w:rPr>
          <w:tab/>
        </w:r>
        <w:r w:rsidRPr="00277E5D">
          <w:rPr>
            <w:rFonts w:ascii="宋体" w:eastAsia="宋体" w:hAnsi="宋体"/>
            <w:noProof/>
            <w:webHidden/>
            <w:sz w:val="24"/>
            <w:szCs w:val="24"/>
          </w:rPr>
          <w:fldChar w:fldCharType="begin"/>
        </w:r>
        <w:r w:rsidRPr="00277E5D">
          <w:rPr>
            <w:rFonts w:ascii="宋体" w:eastAsia="宋体" w:hAnsi="宋体"/>
            <w:noProof/>
            <w:webHidden/>
            <w:sz w:val="24"/>
            <w:szCs w:val="24"/>
          </w:rPr>
          <w:instrText xml:space="preserve"> PAGEREF _Toc988889 \h </w:instrText>
        </w:r>
        <w:r w:rsidRPr="00277E5D">
          <w:rPr>
            <w:rFonts w:ascii="宋体" w:eastAsia="宋体" w:hAnsi="宋体"/>
            <w:noProof/>
            <w:webHidden/>
            <w:sz w:val="24"/>
            <w:szCs w:val="24"/>
          </w:rPr>
        </w:r>
        <w:r w:rsidRPr="00277E5D">
          <w:rPr>
            <w:rFonts w:ascii="宋体" w:eastAsia="宋体" w:hAnsi="宋体"/>
            <w:noProof/>
            <w:webHidden/>
            <w:sz w:val="24"/>
            <w:szCs w:val="24"/>
          </w:rPr>
          <w:fldChar w:fldCharType="separate"/>
        </w:r>
        <w:r w:rsidR="00CF18B7">
          <w:rPr>
            <w:rFonts w:ascii="宋体" w:eastAsia="宋体" w:hAnsi="宋体"/>
            <w:noProof/>
            <w:webHidden/>
            <w:sz w:val="24"/>
            <w:szCs w:val="24"/>
          </w:rPr>
          <w:t>2</w:t>
        </w:r>
        <w:r w:rsidRPr="00277E5D">
          <w:rPr>
            <w:rFonts w:ascii="宋体" w:eastAsia="宋体" w:hAnsi="宋体"/>
            <w:noProof/>
            <w:webHidden/>
            <w:sz w:val="24"/>
            <w:szCs w:val="24"/>
          </w:rPr>
          <w:fldChar w:fldCharType="end"/>
        </w:r>
      </w:hyperlink>
    </w:p>
    <w:p w:rsidR="00A27D66" w:rsidRPr="00277E5D" w:rsidRDefault="00ED1905" w:rsidP="00277E5D">
      <w:pPr>
        <w:pStyle w:val="1"/>
        <w:spacing w:line="480" w:lineRule="auto"/>
        <w:rPr>
          <w:rFonts w:ascii="宋体" w:eastAsia="宋体" w:hAnsi="宋体"/>
          <w:noProof/>
          <w:sz w:val="24"/>
          <w:szCs w:val="24"/>
        </w:rPr>
      </w:pPr>
      <w:hyperlink w:anchor="_Toc988890" w:history="1">
        <w:r w:rsidR="00A2119D" w:rsidRPr="00277E5D">
          <w:rPr>
            <w:rFonts w:ascii="宋体" w:eastAsia="宋体" w:hAnsi="宋体" w:hint="eastAsia"/>
            <w:b/>
            <w:bCs/>
            <w:noProof/>
            <w:sz w:val="24"/>
            <w:szCs w:val="24"/>
          </w:rPr>
          <w:t>第二节 公司简介和主要财务指标</w:t>
        </w:r>
        <w:r w:rsidR="00A2119D" w:rsidRPr="00277E5D">
          <w:rPr>
            <w:rFonts w:ascii="宋体" w:eastAsia="宋体" w:hAnsi="宋体"/>
            <w:noProof/>
            <w:webHidden/>
            <w:sz w:val="24"/>
            <w:szCs w:val="24"/>
          </w:rPr>
          <w:tab/>
        </w:r>
        <w:r w:rsidR="00A2119D" w:rsidRPr="00277E5D">
          <w:rPr>
            <w:rFonts w:ascii="宋体" w:eastAsia="宋体" w:hAnsi="宋体"/>
            <w:noProof/>
            <w:webHidden/>
            <w:sz w:val="24"/>
            <w:szCs w:val="24"/>
          </w:rPr>
          <w:fldChar w:fldCharType="begin"/>
        </w:r>
        <w:r w:rsidR="00A2119D" w:rsidRPr="00277E5D">
          <w:rPr>
            <w:rFonts w:ascii="宋体" w:eastAsia="宋体" w:hAnsi="宋体"/>
            <w:noProof/>
            <w:webHidden/>
            <w:sz w:val="24"/>
            <w:szCs w:val="24"/>
          </w:rPr>
          <w:instrText xml:space="preserve"> PAGEREF _Toc988890 \h </w:instrText>
        </w:r>
        <w:r w:rsidR="00A2119D" w:rsidRPr="00277E5D">
          <w:rPr>
            <w:rFonts w:ascii="宋体" w:eastAsia="宋体" w:hAnsi="宋体"/>
            <w:noProof/>
            <w:webHidden/>
            <w:sz w:val="24"/>
            <w:szCs w:val="24"/>
          </w:rPr>
        </w:r>
        <w:r w:rsidR="00A2119D" w:rsidRPr="00277E5D">
          <w:rPr>
            <w:rFonts w:ascii="宋体" w:eastAsia="宋体" w:hAnsi="宋体"/>
            <w:noProof/>
            <w:webHidden/>
            <w:sz w:val="24"/>
            <w:szCs w:val="24"/>
          </w:rPr>
          <w:fldChar w:fldCharType="separate"/>
        </w:r>
        <w:r w:rsidR="00CF18B7">
          <w:rPr>
            <w:rFonts w:ascii="宋体" w:eastAsia="宋体" w:hAnsi="宋体"/>
            <w:noProof/>
            <w:webHidden/>
            <w:sz w:val="24"/>
            <w:szCs w:val="24"/>
          </w:rPr>
          <w:t>6</w:t>
        </w:r>
        <w:r w:rsidR="00A2119D" w:rsidRPr="00277E5D">
          <w:rPr>
            <w:rFonts w:ascii="宋体" w:eastAsia="宋体" w:hAnsi="宋体"/>
            <w:noProof/>
            <w:webHidden/>
            <w:sz w:val="24"/>
            <w:szCs w:val="24"/>
          </w:rPr>
          <w:fldChar w:fldCharType="end"/>
        </w:r>
      </w:hyperlink>
    </w:p>
    <w:p w:rsidR="00A27D66" w:rsidRPr="00277E5D" w:rsidRDefault="00ED1905" w:rsidP="00277E5D">
      <w:pPr>
        <w:pStyle w:val="1"/>
        <w:spacing w:line="480" w:lineRule="auto"/>
        <w:rPr>
          <w:rFonts w:ascii="宋体" w:eastAsia="宋体" w:hAnsi="宋体"/>
          <w:noProof/>
          <w:sz w:val="24"/>
          <w:szCs w:val="24"/>
        </w:rPr>
      </w:pPr>
      <w:hyperlink w:anchor="_Toc988902" w:history="1">
        <w:r w:rsidR="00A2119D" w:rsidRPr="00277E5D">
          <w:rPr>
            <w:rFonts w:ascii="宋体" w:eastAsia="宋体" w:hAnsi="宋体" w:hint="eastAsia"/>
            <w:b/>
            <w:bCs/>
            <w:noProof/>
            <w:sz w:val="24"/>
            <w:szCs w:val="24"/>
          </w:rPr>
          <w:t>第三节 管理层讨论与分析</w:t>
        </w:r>
        <w:r w:rsidR="00A2119D" w:rsidRPr="00277E5D">
          <w:rPr>
            <w:rFonts w:ascii="宋体" w:eastAsia="宋体" w:hAnsi="宋体"/>
            <w:noProof/>
            <w:webHidden/>
            <w:sz w:val="24"/>
            <w:szCs w:val="24"/>
          </w:rPr>
          <w:tab/>
        </w:r>
        <w:r w:rsidR="00A2119D" w:rsidRPr="00277E5D">
          <w:rPr>
            <w:rFonts w:ascii="宋体" w:eastAsia="宋体" w:hAnsi="宋体"/>
            <w:noProof/>
            <w:webHidden/>
            <w:sz w:val="24"/>
            <w:szCs w:val="24"/>
          </w:rPr>
          <w:fldChar w:fldCharType="begin"/>
        </w:r>
        <w:r w:rsidR="00A2119D" w:rsidRPr="00277E5D">
          <w:rPr>
            <w:rFonts w:ascii="宋体" w:eastAsia="宋体" w:hAnsi="宋体"/>
            <w:noProof/>
            <w:webHidden/>
            <w:sz w:val="24"/>
            <w:szCs w:val="24"/>
          </w:rPr>
          <w:instrText xml:space="preserve"> PAGEREF _Toc988902 \h </w:instrText>
        </w:r>
        <w:r w:rsidR="00A2119D" w:rsidRPr="00277E5D">
          <w:rPr>
            <w:rFonts w:ascii="宋体" w:eastAsia="宋体" w:hAnsi="宋体"/>
            <w:noProof/>
            <w:webHidden/>
            <w:sz w:val="24"/>
            <w:szCs w:val="24"/>
          </w:rPr>
        </w:r>
        <w:r w:rsidR="00A2119D" w:rsidRPr="00277E5D">
          <w:rPr>
            <w:rFonts w:ascii="宋体" w:eastAsia="宋体" w:hAnsi="宋体"/>
            <w:noProof/>
            <w:webHidden/>
            <w:sz w:val="24"/>
            <w:szCs w:val="24"/>
          </w:rPr>
          <w:fldChar w:fldCharType="separate"/>
        </w:r>
        <w:r w:rsidR="00CF18B7">
          <w:rPr>
            <w:rFonts w:ascii="宋体" w:eastAsia="宋体" w:hAnsi="宋体"/>
            <w:noProof/>
            <w:webHidden/>
            <w:sz w:val="24"/>
            <w:szCs w:val="24"/>
          </w:rPr>
          <w:t>10</w:t>
        </w:r>
        <w:r w:rsidR="00A2119D" w:rsidRPr="00277E5D">
          <w:rPr>
            <w:rFonts w:ascii="宋体" w:eastAsia="宋体" w:hAnsi="宋体"/>
            <w:noProof/>
            <w:webHidden/>
            <w:sz w:val="24"/>
            <w:szCs w:val="24"/>
          </w:rPr>
          <w:fldChar w:fldCharType="end"/>
        </w:r>
      </w:hyperlink>
    </w:p>
    <w:p w:rsidR="00A27D66" w:rsidRPr="00277E5D" w:rsidRDefault="00ED1905" w:rsidP="00277E5D">
      <w:pPr>
        <w:pStyle w:val="1"/>
        <w:spacing w:line="480" w:lineRule="auto"/>
        <w:rPr>
          <w:rFonts w:ascii="宋体" w:eastAsia="宋体" w:hAnsi="宋体"/>
          <w:noProof/>
          <w:sz w:val="24"/>
          <w:szCs w:val="24"/>
        </w:rPr>
      </w:pPr>
      <w:hyperlink w:anchor="_Toc988942" w:history="1">
        <w:r w:rsidR="00A2119D" w:rsidRPr="00277E5D">
          <w:rPr>
            <w:rFonts w:ascii="宋体" w:eastAsia="宋体" w:hAnsi="宋体" w:hint="eastAsia"/>
            <w:b/>
            <w:bCs/>
            <w:noProof/>
            <w:sz w:val="24"/>
            <w:szCs w:val="24"/>
          </w:rPr>
          <w:t>第四节 公司治理</w:t>
        </w:r>
        <w:r w:rsidR="00A2119D" w:rsidRPr="00277E5D">
          <w:rPr>
            <w:rFonts w:ascii="宋体" w:eastAsia="宋体" w:hAnsi="宋体"/>
            <w:noProof/>
            <w:webHidden/>
            <w:sz w:val="24"/>
            <w:szCs w:val="24"/>
          </w:rPr>
          <w:tab/>
        </w:r>
        <w:r w:rsidR="00A2119D" w:rsidRPr="00277E5D">
          <w:rPr>
            <w:rFonts w:ascii="宋体" w:eastAsia="宋体" w:hAnsi="宋体"/>
            <w:noProof/>
            <w:webHidden/>
            <w:sz w:val="24"/>
            <w:szCs w:val="24"/>
          </w:rPr>
          <w:fldChar w:fldCharType="begin"/>
        </w:r>
        <w:r w:rsidR="00A2119D" w:rsidRPr="00277E5D">
          <w:rPr>
            <w:rFonts w:ascii="宋体" w:eastAsia="宋体" w:hAnsi="宋体"/>
            <w:noProof/>
            <w:webHidden/>
            <w:sz w:val="24"/>
            <w:szCs w:val="24"/>
          </w:rPr>
          <w:instrText xml:space="preserve"> PAGEREF _Toc988942 \h </w:instrText>
        </w:r>
        <w:r w:rsidR="00A2119D" w:rsidRPr="00277E5D">
          <w:rPr>
            <w:rFonts w:ascii="宋体" w:eastAsia="宋体" w:hAnsi="宋体"/>
            <w:noProof/>
            <w:webHidden/>
            <w:sz w:val="24"/>
            <w:szCs w:val="24"/>
          </w:rPr>
        </w:r>
        <w:r w:rsidR="00A2119D" w:rsidRPr="00277E5D">
          <w:rPr>
            <w:rFonts w:ascii="宋体" w:eastAsia="宋体" w:hAnsi="宋体"/>
            <w:noProof/>
            <w:webHidden/>
            <w:sz w:val="24"/>
            <w:szCs w:val="24"/>
          </w:rPr>
          <w:fldChar w:fldCharType="separate"/>
        </w:r>
        <w:r w:rsidR="00CF18B7">
          <w:rPr>
            <w:rFonts w:ascii="宋体" w:eastAsia="宋体" w:hAnsi="宋体"/>
            <w:noProof/>
            <w:webHidden/>
            <w:sz w:val="24"/>
            <w:szCs w:val="24"/>
          </w:rPr>
          <w:t>27</w:t>
        </w:r>
        <w:r w:rsidR="00A2119D" w:rsidRPr="00277E5D">
          <w:rPr>
            <w:rFonts w:ascii="宋体" w:eastAsia="宋体" w:hAnsi="宋体"/>
            <w:noProof/>
            <w:webHidden/>
            <w:sz w:val="24"/>
            <w:szCs w:val="24"/>
          </w:rPr>
          <w:fldChar w:fldCharType="end"/>
        </w:r>
      </w:hyperlink>
    </w:p>
    <w:p w:rsidR="00A27D66" w:rsidRPr="00277E5D" w:rsidRDefault="00ED1905" w:rsidP="00277E5D">
      <w:pPr>
        <w:pStyle w:val="1"/>
        <w:spacing w:line="480" w:lineRule="auto"/>
        <w:rPr>
          <w:rFonts w:ascii="宋体" w:eastAsia="宋体" w:hAnsi="宋体"/>
          <w:noProof/>
          <w:sz w:val="24"/>
          <w:szCs w:val="24"/>
        </w:rPr>
      </w:pPr>
      <w:hyperlink w:anchor="_Toc988978" w:history="1">
        <w:r w:rsidR="00A2119D" w:rsidRPr="00277E5D">
          <w:rPr>
            <w:rFonts w:ascii="宋体" w:eastAsia="宋体" w:hAnsi="宋体" w:hint="eastAsia"/>
            <w:b/>
            <w:bCs/>
            <w:noProof/>
            <w:sz w:val="24"/>
            <w:szCs w:val="24"/>
          </w:rPr>
          <w:t>第五节 环境和社会责任</w:t>
        </w:r>
        <w:r w:rsidR="00A2119D" w:rsidRPr="00277E5D">
          <w:rPr>
            <w:rFonts w:ascii="宋体" w:eastAsia="宋体" w:hAnsi="宋体"/>
            <w:noProof/>
            <w:webHidden/>
            <w:sz w:val="24"/>
            <w:szCs w:val="24"/>
          </w:rPr>
          <w:tab/>
        </w:r>
        <w:r w:rsidR="00A2119D" w:rsidRPr="00277E5D">
          <w:rPr>
            <w:rFonts w:ascii="宋体" w:eastAsia="宋体" w:hAnsi="宋体"/>
            <w:noProof/>
            <w:webHidden/>
            <w:sz w:val="24"/>
            <w:szCs w:val="24"/>
          </w:rPr>
          <w:fldChar w:fldCharType="begin"/>
        </w:r>
        <w:r w:rsidR="00A2119D" w:rsidRPr="00277E5D">
          <w:rPr>
            <w:rFonts w:ascii="宋体" w:eastAsia="宋体" w:hAnsi="宋体"/>
            <w:noProof/>
            <w:webHidden/>
            <w:sz w:val="24"/>
            <w:szCs w:val="24"/>
          </w:rPr>
          <w:instrText xml:space="preserve"> PAGEREF _Toc988978 \h </w:instrText>
        </w:r>
        <w:r w:rsidR="00A2119D" w:rsidRPr="00277E5D">
          <w:rPr>
            <w:rFonts w:ascii="宋体" w:eastAsia="宋体" w:hAnsi="宋体"/>
            <w:noProof/>
            <w:webHidden/>
            <w:sz w:val="24"/>
            <w:szCs w:val="24"/>
          </w:rPr>
        </w:r>
        <w:r w:rsidR="00A2119D" w:rsidRPr="00277E5D">
          <w:rPr>
            <w:rFonts w:ascii="宋体" w:eastAsia="宋体" w:hAnsi="宋体"/>
            <w:noProof/>
            <w:webHidden/>
            <w:sz w:val="24"/>
            <w:szCs w:val="24"/>
          </w:rPr>
          <w:fldChar w:fldCharType="separate"/>
        </w:r>
        <w:r w:rsidR="00CF18B7">
          <w:rPr>
            <w:rFonts w:ascii="宋体" w:eastAsia="宋体" w:hAnsi="宋体"/>
            <w:noProof/>
            <w:webHidden/>
            <w:sz w:val="24"/>
            <w:szCs w:val="24"/>
          </w:rPr>
          <w:t>46</w:t>
        </w:r>
        <w:r w:rsidR="00A2119D" w:rsidRPr="00277E5D">
          <w:rPr>
            <w:rFonts w:ascii="宋体" w:eastAsia="宋体" w:hAnsi="宋体"/>
            <w:noProof/>
            <w:webHidden/>
            <w:sz w:val="24"/>
            <w:szCs w:val="24"/>
          </w:rPr>
          <w:fldChar w:fldCharType="end"/>
        </w:r>
      </w:hyperlink>
    </w:p>
    <w:p w:rsidR="00A27D66" w:rsidRPr="00277E5D" w:rsidRDefault="00ED1905" w:rsidP="00277E5D">
      <w:pPr>
        <w:pStyle w:val="1"/>
        <w:spacing w:line="480" w:lineRule="auto"/>
        <w:rPr>
          <w:rFonts w:ascii="宋体" w:eastAsia="宋体" w:hAnsi="宋体"/>
          <w:noProof/>
          <w:sz w:val="24"/>
          <w:szCs w:val="24"/>
        </w:rPr>
      </w:pPr>
      <w:hyperlink w:anchor="_Toc988982" w:history="1">
        <w:r w:rsidR="00A2119D" w:rsidRPr="00277E5D">
          <w:rPr>
            <w:rFonts w:ascii="宋体" w:eastAsia="宋体" w:hAnsi="宋体" w:hint="eastAsia"/>
            <w:b/>
            <w:bCs/>
            <w:noProof/>
            <w:sz w:val="24"/>
            <w:szCs w:val="24"/>
          </w:rPr>
          <w:t>第六节 重要事项</w:t>
        </w:r>
        <w:r w:rsidR="00A2119D" w:rsidRPr="00277E5D">
          <w:rPr>
            <w:rFonts w:ascii="宋体" w:eastAsia="宋体" w:hAnsi="宋体"/>
            <w:noProof/>
            <w:webHidden/>
            <w:sz w:val="24"/>
            <w:szCs w:val="24"/>
          </w:rPr>
          <w:tab/>
        </w:r>
        <w:r w:rsidR="00A2119D" w:rsidRPr="00277E5D">
          <w:rPr>
            <w:rFonts w:ascii="宋体" w:eastAsia="宋体" w:hAnsi="宋体"/>
            <w:noProof/>
            <w:webHidden/>
            <w:sz w:val="24"/>
            <w:szCs w:val="24"/>
          </w:rPr>
          <w:fldChar w:fldCharType="begin"/>
        </w:r>
        <w:r w:rsidR="00A2119D" w:rsidRPr="00277E5D">
          <w:rPr>
            <w:rFonts w:ascii="宋体" w:eastAsia="宋体" w:hAnsi="宋体"/>
            <w:noProof/>
            <w:webHidden/>
            <w:sz w:val="24"/>
            <w:szCs w:val="24"/>
          </w:rPr>
          <w:instrText xml:space="preserve"> PAGEREF _Toc988982 \h </w:instrText>
        </w:r>
        <w:r w:rsidR="00A2119D" w:rsidRPr="00277E5D">
          <w:rPr>
            <w:rFonts w:ascii="宋体" w:eastAsia="宋体" w:hAnsi="宋体"/>
            <w:noProof/>
            <w:webHidden/>
            <w:sz w:val="24"/>
            <w:szCs w:val="24"/>
          </w:rPr>
        </w:r>
        <w:r w:rsidR="00A2119D" w:rsidRPr="00277E5D">
          <w:rPr>
            <w:rFonts w:ascii="宋体" w:eastAsia="宋体" w:hAnsi="宋体"/>
            <w:noProof/>
            <w:webHidden/>
            <w:sz w:val="24"/>
            <w:szCs w:val="24"/>
          </w:rPr>
          <w:fldChar w:fldCharType="separate"/>
        </w:r>
        <w:r w:rsidR="00CF18B7">
          <w:rPr>
            <w:rFonts w:ascii="宋体" w:eastAsia="宋体" w:hAnsi="宋体"/>
            <w:noProof/>
            <w:webHidden/>
            <w:sz w:val="24"/>
            <w:szCs w:val="24"/>
          </w:rPr>
          <w:t>47</w:t>
        </w:r>
        <w:r w:rsidR="00A2119D" w:rsidRPr="00277E5D">
          <w:rPr>
            <w:rFonts w:ascii="宋体" w:eastAsia="宋体" w:hAnsi="宋体"/>
            <w:noProof/>
            <w:webHidden/>
            <w:sz w:val="24"/>
            <w:szCs w:val="24"/>
          </w:rPr>
          <w:fldChar w:fldCharType="end"/>
        </w:r>
      </w:hyperlink>
    </w:p>
    <w:p w:rsidR="00A27D66" w:rsidRPr="00277E5D" w:rsidRDefault="00ED1905" w:rsidP="00277E5D">
      <w:pPr>
        <w:pStyle w:val="1"/>
        <w:spacing w:line="480" w:lineRule="auto"/>
        <w:rPr>
          <w:rFonts w:ascii="宋体" w:eastAsia="宋体" w:hAnsi="宋体"/>
          <w:noProof/>
          <w:sz w:val="24"/>
          <w:szCs w:val="24"/>
        </w:rPr>
      </w:pPr>
      <w:hyperlink w:anchor="_Toc989018" w:history="1">
        <w:r w:rsidR="00A2119D" w:rsidRPr="00277E5D">
          <w:rPr>
            <w:rFonts w:ascii="宋体" w:eastAsia="宋体" w:hAnsi="宋体" w:hint="eastAsia"/>
            <w:b/>
            <w:bCs/>
            <w:noProof/>
            <w:sz w:val="24"/>
            <w:szCs w:val="24"/>
          </w:rPr>
          <w:t>第七节 股份变动及股东情况</w:t>
        </w:r>
        <w:r w:rsidR="00A2119D" w:rsidRPr="00277E5D">
          <w:rPr>
            <w:rFonts w:ascii="宋体" w:eastAsia="宋体" w:hAnsi="宋体"/>
            <w:noProof/>
            <w:webHidden/>
            <w:sz w:val="24"/>
            <w:szCs w:val="24"/>
          </w:rPr>
          <w:tab/>
        </w:r>
        <w:r w:rsidR="00A2119D" w:rsidRPr="00277E5D">
          <w:rPr>
            <w:rFonts w:ascii="宋体" w:eastAsia="宋体" w:hAnsi="宋体"/>
            <w:noProof/>
            <w:webHidden/>
            <w:sz w:val="24"/>
            <w:szCs w:val="24"/>
          </w:rPr>
          <w:fldChar w:fldCharType="begin"/>
        </w:r>
        <w:r w:rsidR="00A2119D" w:rsidRPr="00277E5D">
          <w:rPr>
            <w:rFonts w:ascii="宋体" w:eastAsia="宋体" w:hAnsi="宋体"/>
            <w:noProof/>
            <w:webHidden/>
            <w:sz w:val="24"/>
            <w:szCs w:val="24"/>
          </w:rPr>
          <w:instrText xml:space="preserve"> PAGEREF _Toc989018 \h </w:instrText>
        </w:r>
        <w:r w:rsidR="00A2119D" w:rsidRPr="00277E5D">
          <w:rPr>
            <w:rFonts w:ascii="宋体" w:eastAsia="宋体" w:hAnsi="宋体"/>
            <w:noProof/>
            <w:webHidden/>
            <w:sz w:val="24"/>
            <w:szCs w:val="24"/>
          </w:rPr>
        </w:r>
        <w:r w:rsidR="00A2119D" w:rsidRPr="00277E5D">
          <w:rPr>
            <w:rFonts w:ascii="宋体" w:eastAsia="宋体" w:hAnsi="宋体"/>
            <w:noProof/>
            <w:webHidden/>
            <w:sz w:val="24"/>
            <w:szCs w:val="24"/>
          </w:rPr>
          <w:fldChar w:fldCharType="separate"/>
        </w:r>
        <w:r w:rsidR="00CF18B7">
          <w:rPr>
            <w:rFonts w:ascii="宋体" w:eastAsia="宋体" w:hAnsi="宋体"/>
            <w:noProof/>
            <w:webHidden/>
            <w:sz w:val="24"/>
            <w:szCs w:val="24"/>
          </w:rPr>
          <w:t>60</w:t>
        </w:r>
        <w:r w:rsidR="00A2119D" w:rsidRPr="00277E5D">
          <w:rPr>
            <w:rFonts w:ascii="宋体" w:eastAsia="宋体" w:hAnsi="宋体"/>
            <w:noProof/>
            <w:webHidden/>
            <w:sz w:val="24"/>
            <w:szCs w:val="24"/>
          </w:rPr>
          <w:fldChar w:fldCharType="end"/>
        </w:r>
      </w:hyperlink>
    </w:p>
    <w:p w:rsidR="00A27D66" w:rsidRPr="00277E5D" w:rsidRDefault="00ED1905" w:rsidP="00277E5D">
      <w:pPr>
        <w:pStyle w:val="1"/>
        <w:spacing w:line="480" w:lineRule="auto"/>
        <w:rPr>
          <w:rFonts w:ascii="宋体" w:eastAsia="宋体" w:hAnsi="宋体"/>
          <w:noProof/>
          <w:sz w:val="24"/>
          <w:szCs w:val="24"/>
        </w:rPr>
      </w:pPr>
      <w:hyperlink w:anchor="_Toc989034" w:history="1">
        <w:r w:rsidR="00A2119D" w:rsidRPr="00277E5D">
          <w:rPr>
            <w:rFonts w:ascii="宋体" w:eastAsia="宋体" w:hAnsi="宋体" w:hint="eastAsia"/>
            <w:b/>
            <w:bCs/>
            <w:noProof/>
            <w:sz w:val="24"/>
            <w:szCs w:val="24"/>
          </w:rPr>
          <w:t>第八节 优先股相关情况</w:t>
        </w:r>
        <w:r w:rsidR="00A2119D" w:rsidRPr="00277E5D">
          <w:rPr>
            <w:rFonts w:ascii="宋体" w:eastAsia="宋体" w:hAnsi="宋体"/>
            <w:noProof/>
            <w:webHidden/>
            <w:sz w:val="24"/>
            <w:szCs w:val="24"/>
          </w:rPr>
          <w:tab/>
        </w:r>
        <w:r w:rsidR="00A2119D" w:rsidRPr="00277E5D">
          <w:rPr>
            <w:rFonts w:ascii="宋体" w:eastAsia="宋体" w:hAnsi="宋体"/>
            <w:noProof/>
            <w:webHidden/>
            <w:sz w:val="24"/>
            <w:szCs w:val="24"/>
          </w:rPr>
          <w:fldChar w:fldCharType="begin"/>
        </w:r>
        <w:r w:rsidR="00A2119D" w:rsidRPr="00277E5D">
          <w:rPr>
            <w:rFonts w:ascii="宋体" w:eastAsia="宋体" w:hAnsi="宋体"/>
            <w:noProof/>
            <w:webHidden/>
            <w:sz w:val="24"/>
            <w:szCs w:val="24"/>
          </w:rPr>
          <w:instrText xml:space="preserve"> PAGEREF _Toc989034 \h </w:instrText>
        </w:r>
        <w:r w:rsidR="00A2119D" w:rsidRPr="00277E5D">
          <w:rPr>
            <w:rFonts w:ascii="宋体" w:eastAsia="宋体" w:hAnsi="宋体"/>
            <w:noProof/>
            <w:webHidden/>
            <w:sz w:val="24"/>
            <w:szCs w:val="24"/>
          </w:rPr>
        </w:r>
        <w:r w:rsidR="00A2119D" w:rsidRPr="00277E5D">
          <w:rPr>
            <w:rFonts w:ascii="宋体" w:eastAsia="宋体" w:hAnsi="宋体"/>
            <w:noProof/>
            <w:webHidden/>
            <w:sz w:val="24"/>
            <w:szCs w:val="24"/>
          </w:rPr>
          <w:fldChar w:fldCharType="separate"/>
        </w:r>
        <w:r w:rsidR="00CF18B7">
          <w:rPr>
            <w:rFonts w:ascii="宋体" w:eastAsia="宋体" w:hAnsi="宋体"/>
            <w:noProof/>
            <w:webHidden/>
            <w:sz w:val="24"/>
            <w:szCs w:val="24"/>
          </w:rPr>
          <w:t>66</w:t>
        </w:r>
        <w:r w:rsidR="00A2119D" w:rsidRPr="00277E5D">
          <w:rPr>
            <w:rFonts w:ascii="宋体" w:eastAsia="宋体" w:hAnsi="宋体"/>
            <w:noProof/>
            <w:webHidden/>
            <w:sz w:val="24"/>
            <w:szCs w:val="24"/>
          </w:rPr>
          <w:fldChar w:fldCharType="end"/>
        </w:r>
      </w:hyperlink>
    </w:p>
    <w:p w:rsidR="00A27D66" w:rsidRPr="00277E5D" w:rsidRDefault="00ED1905" w:rsidP="00277E5D">
      <w:pPr>
        <w:pStyle w:val="1"/>
        <w:spacing w:line="480" w:lineRule="auto"/>
        <w:rPr>
          <w:rFonts w:ascii="宋体" w:eastAsia="宋体" w:hAnsi="宋体"/>
          <w:noProof/>
          <w:sz w:val="24"/>
          <w:szCs w:val="24"/>
        </w:rPr>
      </w:pPr>
      <w:hyperlink w:anchor="_Toc989035" w:history="1">
        <w:r w:rsidR="00A2119D" w:rsidRPr="00277E5D">
          <w:rPr>
            <w:rFonts w:ascii="宋体" w:eastAsia="宋体" w:hAnsi="宋体" w:hint="eastAsia"/>
            <w:b/>
            <w:bCs/>
            <w:noProof/>
            <w:sz w:val="24"/>
            <w:szCs w:val="24"/>
          </w:rPr>
          <w:t>第九节 债券相关情况</w:t>
        </w:r>
        <w:r w:rsidR="00A2119D" w:rsidRPr="00277E5D">
          <w:rPr>
            <w:rFonts w:ascii="宋体" w:eastAsia="宋体" w:hAnsi="宋体"/>
            <w:noProof/>
            <w:webHidden/>
            <w:sz w:val="24"/>
            <w:szCs w:val="24"/>
          </w:rPr>
          <w:tab/>
        </w:r>
        <w:r w:rsidR="00A2119D" w:rsidRPr="00277E5D">
          <w:rPr>
            <w:rFonts w:ascii="宋体" w:eastAsia="宋体" w:hAnsi="宋体"/>
            <w:noProof/>
            <w:webHidden/>
            <w:sz w:val="24"/>
            <w:szCs w:val="24"/>
          </w:rPr>
          <w:fldChar w:fldCharType="begin"/>
        </w:r>
        <w:r w:rsidR="00A2119D" w:rsidRPr="00277E5D">
          <w:rPr>
            <w:rFonts w:ascii="宋体" w:eastAsia="宋体" w:hAnsi="宋体"/>
            <w:noProof/>
            <w:webHidden/>
            <w:sz w:val="24"/>
            <w:szCs w:val="24"/>
          </w:rPr>
          <w:instrText xml:space="preserve"> PAGEREF _Toc989035 \h </w:instrText>
        </w:r>
        <w:r w:rsidR="00A2119D" w:rsidRPr="00277E5D">
          <w:rPr>
            <w:rFonts w:ascii="宋体" w:eastAsia="宋体" w:hAnsi="宋体"/>
            <w:noProof/>
            <w:webHidden/>
            <w:sz w:val="24"/>
            <w:szCs w:val="24"/>
          </w:rPr>
        </w:r>
        <w:r w:rsidR="00A2119D" w:rsidRPr="00277E5D">
          <w:rPr>
            <w:rFonts w:ascii="宋体" w:eastAsia="宋体" w:hAnsi="宋体"/>
            <w:noProof/>
            <w:webHidden/>
            <w:sz w:val="24"/>
            <w:szCs w:val="24"/>
          </w:rPr>
          <w:fldChar w:fldCharType="separate"/>
        </w:r>
        <w:r w:rsidR="00CF18B7">
          <w:rPr>
            <w:rFonts w:ascii="宋体" w:eastAsia="宋体" w:hAnsi="宋体"/>
            <w:noProof/>
            <w:webHidden/>
            <w:sz w:val="24"/>
            <w:szCs w:val="24"/>
          </w:rPr>
          <w:t>66</w:t>
        </w:r>
        <w:r w:rsidR="00A2119D" w:rsidRPr="00277E5D">
          <w:rPr>
            <w:rFonts w:ascii="宋体" w:eastAsia="宋体" w:hAnsi="宋体"/>
            <w:noProof/>
            <w:webHidden/>
            <w:sz w:val="24"/>
            <w:szCs w:val="24"/>
          </w:rPr>
          <w:fldChar w:fldCharType="end"/>
        </w:r>
      </w:hyperlink>
    </w:p>
    <w:p w:rsidR="00A27D66" w:rsidRPr="00A2119D" w:rsidRDefault="00ED1905" w:rsidP="00277E5D">
      <w:pPr>
        <w:pStyle w:val="1"/>
        <w:spacing w:line="480" w:lineRule="auto"/>
        <w:rPr>
          <w:noProof/>
        </w:rPr>
      </w:pPr>
      <w:hyperlink w:anchor="_Toc989036" w:history="1">
        <w:r w:rsidR="00A2119D" w:rsidRPr="00277E5D">
          <w:rPr>
            <w:rFonts w:ascii="宋体" w:eastAsia="宋体" w:hAnsi="宋体" w:hint="eastAsia"/>
            <w:b/>
            <w:bCs/>
            <w:noProof/>
            <w:sz w:val="24"/>
            <w:szCs w:val="24"/>
          </w:rPr>
          <w:t>第十节 财务报告</w:t>
        </w:r>
        <w:r w:rsidR="00A2119D" w:rsidRPr="00277E5D">
          <w:rPr>
            <w:rFonts w:ascii="宋体" w:eastAsia="宋体" w:hAnsi="宋体"/>
            <w:noProof/>
            <w:webHidden/>
            <w:sz w:val="24"/>
            <w:szCs w:val="24"/>
          </w:rPr>
          <w:tab/>
        </w:r>
        <w:r w:rsidR="00A2119D" w:rsidRPr="00277E5D">
          <w:rPr>
            <w:rFonts w:ascii="宋体" w:eastAsia="宋体" w:hAnsi="宋体"/>
            <w:noProof/>
            <w:webHidden/>
            <w:sz w:val="24"/>
            <w:szCs w:val="24"/>
          </w:rPr>
          <w:fldChar w:fldCharType="begin"/>
        </w:r>
        <w:r w:rsidR="00A2119D" w:rsidRPr="00277E5D">
          <w:rPr>
            <w:rFonts w:ascii="宋体" w:eastAsia="宋体" w:hAnsi="宋体"/>
            <w:noProof/>
            <w:webHidden/>
            <w:sz w:val="24"/>
            <w:szCs w:val="24"/>
          </w:rPr>
          <w:instrText xml:space="preserve"> PAGEREF _Toc989036 \h </w:instrText>
        </w:r>
        <w:r w:rsidR="00A2119D" w:rsidRPr="00277E5D">
          <w:rPr>
            <w:rFonts w:ascii="宋体" w:eastAsia="宋体" w:hAnsi="宋体"/>
            <w:noProof/>
            <w:webHidden/>
            <w:sz w:val="24"/>
            <w:szCs w:val="24"/>
          </w:rPr>
        </w:r>
        <w:r w:rsidR="00A2119D" w:rsidRPr="00277E5D">
          <w:rPr>
            <w:rFonts w:ascii="宋体" w:eastAsia="宋体" w:hAnsi="宋体"/>
            <w:noProof/>
            <w:webHidden/>
            <w:sz w:val="24"/>
            <w:szCs w:val="24"/>
          </w:rPr>
          <w:fldChar w:fldCharType="separate"/>
        </w:r>
        <w:r w:rsidR="00CF18B7">
          <w:rPr>
            <w:rFonts w:ascii="宋体" w:eastAsia="宋体" w:hAnsi="宋体"/>
            <w:noProof/>
            <w:webHidden/>
            <w:sz w:val="24"/>
            <w:szCs w:val="24"/>
          </w:rPr>
          <w:t>67</w:t>
        </w:r>
        <w:r w:rsidR="00A2119D" w:rsidRPr="00277E5D">
          <w:rPr>
            <w:rFonts w:ascii="宋体" w:eastAsia="宋体" w:hAnsi="宋体"/>
            <w:noProof/>
            <w:webHidden/>
            <w:sz w:val="24"/>
            <w:szCs w:val="24"/>
          </w:rPr>
          <w:fldChar w:fldCharType="end"/>
        </w:r>
      </w:hyperlink>
      <w:r w:rsidR="00A2119D" w:rsidRPr="00A2119D">
        <w:fldChar w:fldCharType="end"/>
      </w:r>
    </w:p>
    <w:p w:rsidR="00A27D66" w:rsidRDefault="00A2119D" w:rsidP="00277E5D">
      <w:pPr>
        <w:spacing w:line="480" w:lineRule="auto"/>
      </w:pPr>
      <w:r>
        <w:br w:type="page"/>
      </w:r>
    </w:p>
    <w:p w:rsidR="00A27D66" w:rsidRDefault="00A2119D">
      <w:pPr>
        <w:spacing w:line="640" w:lineRule="exact"/>
        <w:jc w:val="center"/>
        <w:rPr>
          <w:rFonts w:ascii="宋体" w:eastAsia="宋体" w:hAnsi="宋体" w:cs="宋体"/>
          <w:b/>
          <w:bCs/>
          <w:sz w:val="32"/>
          <w:szCs w:val="32"/>
        </w:rPr>
      </w:pPr>
      <w:r>
        <w:rPr>
          <w:rFonts w:ascii="宋体" w:eastAsia="宋体" w:hAnsi="宋体" w:cs="宋体"/>
          <w:b/>
          <w:bCs/>
          <w:sz w:val="32"/>
          <w:szCs w:val="32"/>
        </w:rPr>
        <w:lastRenderedPageBreak/>
        <w:t>备查文件目录</w:t>
      </w:r>
    </w:p>
    <w:p w:rsidR="00A2119D" w:rsidRDefault="00A2119D">
      <w:pPr>
        <w:pStyle w:val="a3"/>
        <w:spacing w:line="560" w:lineRule="atLeast"/>
        <w:ind w:firstLine="408"/>
        <w:divId w:val="1831943609"/>
        <w:rPr>
          <w:sz w:val="18"/>
          <w:szCs w:val="18"/>
        </w:rPr>
      </w:pPr>
      <w:r>
        <w:rPr>
          <w:rFonts w:hint="eastAsia"/>
          <w:sz w:val="18"/>
          <w:szCs w:val="18"/>
        </w:rPr>
        <w:t>（一）载有公司负责人、主管会计工作负责人、会计机构负责人签名并盖章的财务报表；</w:t>
      </w:r>
    </w:p>
    <w:p w:rsidR="00A2119D" w:rsidRDefault="00A2119D">
      <w:pPr>
        <w:pStyle w:val="a3"/>
        <w:spacing w:line="560" w:lineRule="atLeast"/>
        <w:ind w:firstLine="408"/>
        <w:divId w:val="1831943609"/>
        <w:rPr>
          <w:sz w:val="18"/>
          <w:szCs w:val="18"/>
        </w:rPr>
      </w:pPr>
      <w:r>
        <w:rPr>
          <w:rFonts w:hint="eastAsia"/>
          <w:sz w:val="18"/>
          <w:szCs w:val="18"/>
        </w:rPr>
        <w:t>（二）载有广东司农会计师事务所（特殊普通合伙）盖章、注册会计师签名并盖章的审计报告原件；</w:t>
      </w:r>
    </w:p>
    <w:p w:rsidR="00A2119D" w:rsidRDefault="00A2119D">
      <w:pPr>
        <w:pStyle w:val="a3"/>
        <w:spacing w:line="560" w:lineRule="atLeast"/>
        <w:ind w:firstLine="408"/>
        <w:divId w:val="1831943609"/>
        <w:rPr>
          <w:sz w:val="18"/>
          <w:szCs w:val="18"/>
        </w:rPr>
      </w:pPr>
      <w:r>
        <w:rPr>
          <w:rFonts w:hint="eastAsia"/>
          <w:sz w:val="18"/>
          <w:szCs w:val="18"/>
        </w:rPr>
        <w:t>（三）报告期内公开披露过的所有公司文件的正本及公告的原稿。</w:t>
      </w:r>
    </w:p>
    <w:p w:rsidR="00A27D66" w:rsidRDefault="00A2119D">
      <w:r>
        <w:br w:type="page"/>
      </w:r>
    </w:p>
    <w:p w:rsidR="00A27D66" w:rsidRDefault="00A2119D">
      <w:pPr>
        <w:spacing w:before="40" w:after="40" w:line="560" w:lineRule="exact"/>
        <w:jc w:val="center"/>
        <w:rPr>
          <w:rFonts w:ascii="宋体" w:eastAsia="宋体" w:hAnsi="宋体" w:cs="宋体"/>
          <w:b/>
          <w:bCs/>
          <w:sz w:val="32"/>
          <w:szCs w:val="32"/>
        </w:rPr>
      </w:pPr>
      <w:r>
        <w:rPr>
          <w:rFonts w:ascii="宋体" w:eastAsia="宋体" w:hAnsi="宋体" w:cs="宋体"/>
          <w:b/>
          <w:bCs/>
          <w:sz w:val="32"/>
          <w:szCs w:val="32"/>
        </w:rPr>
        <w:lastRenderedPageBreak/>
        <w:t>释义</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544"/>
        <w:gridCol w:w="1985"/>
        <w:gridCol w:w="4110"/>
      </w:tblGrid>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释义项</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释义内容</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公司、本公司、上市公司</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广东甘化科工股份有限公司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江门甘蔗化工厂（集团）股份有限公司</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公司原名</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控股股东、大股东</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德力西集团有限公司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升华电源</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公司全资子公司四川升华电源科技有限公司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沈阳含能</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公司控股子公司沈阳含能金属材料制造有限公司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沈阳非晶</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公司控股子公司沈阳非晶金属材料制造有限公司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沈阳超能</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沈阳超能新材科技有限公司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四川甘华、甘华电源</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公司全资子公司四川甘华电源科技有限公司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四川</w:t>
            </w:r>
            <w:proofErr w:type="gramStart"/>
            <w:r>
              <w:rPr>
                <w:rFonts w:ascii="宋体" w:eastAsia="宋体" w:hAnsi="宋体" w:cs="宋体"/>
                <w:sz w:val="18"/>
                <w:szCs w:val="18"/>
              </w:rPr>
              <w:t>德芯源</w:t>
            </w:r>
            <w:r w:rsidR="001C4C55">
              <w:rPr>
                <w:rFonts w:ascii="宋体" w:eastAsia="宋体" w:hAnsi="宋体" w:cs="宋体" w:hint="eastAsia"/>
                <w:sz w:val="18"/>
                <w:szCs w:val="18"/>
              </w:rPr>
              <w:t>、</w:t>
            </w:r>
            <w:r w:rsidR="001C4C55">
              <w:rPr>
                <w:rFonts w:ascii="宋体" w:eastAsia="宋体" w:hAnsi="宋体" w:cs="宋体"/>
                <w:sz w:val="18"/>
                <w:szCs w:val="18"/>
              </w:rPr>
              <w:t>德芯源</w:t>
            </w:r>
            <w:proofErr w:type="gramEnd"/>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四川德芯源电子科技有限公司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升华源</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深圳升华源科技有限公司</w:t>
            </w:r>
          </w:p>
        </w:tc>
      </w:tr>
      <w:tr w:rsidR="007F1247"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7F1247" w:rsidRPr="005D63D5" w:rsidRDefault="007F1247" w:rsidP="007F1247">
            <w:pPr>
              <w:spacing w:line="240" w:lineRule="exact"/>
              <w:rPr>
                <w:rFonts w:ascii="宋体" w:eastAsia="宋体" w:hAnsi="宋体" w:cs="宋体"/>
                <w:sz w:val="18"/>
                <w:szCs w:val="18"/>
                <w:highlight w:val="yellow"/>
              </w:rPr>
            </w:pPr>
            <w:r>
              <w:rPr>
                <w:rFonts w:ascii="宋体" w:eastAsia="宋体" w:hAnsi="宋体" w:cs="宋体"/>
                <w:sz w:val="18"/>
                <w:szCs w:val="18"/>
              </w:rPr>
              <w:t>芜湖华沅</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7F1247" w:rsidRPr="005D63D5" w:rsidRDefault="007F1247" w:rsidP="007F1247">
            <w:pPr>
              <w:spacing w:before="40" w:after="40" w:line="240" w:lineRule="exact"/>
              <w:jc w:val="center"/>
              <w:rPr>
                <w:rFonts w:ascii="宋体" w:eastAsia="宋体" w:hAnsi="宋体" w:cs="宋体"/>
                <w:sz w:val="18"/>
                <w:szCs w:val="18"/>
                <w:highlight w:val="yellow"/>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7F1247" w:rsidRPr="005D63D5" w:rsidRDefault="007F1247" w:rsidP="007F1247">
            <w:pPr>
              <w:spacing w:line="240" w:lineRule="exact"/>
              <w:rPr>
                <w:rFonts w:ascii="宋体" w:eastAsia="宋体" w:hAnsi="宋体" w:cs="宋体"/>
                <w:sz w:val="18"/>
                <w:szCs w:val="18"/>
                <w:highlight w:val="yellow"/>
              </w:rPr>
            </w:pPr>
            <w:r>
              <w:rPr>
                <w:rFonts w:ascii="宋体" w:eastAsia="宋体" w:hAnsi="宋体" w:cs="宋体"/>
                <w:sz w:val="18"/>
                <w:szCs w:val="18"/>
              </w:rPr>
              <w:t>芜湖华沅微电子有限公司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proofErr w:type="gramStart"/>
            <w:r>
              <w:rPr>
                <w:rFonts w:ascii="宋体" w:eastAsia="宋体" w:hAnsi="宋体" w:cs="宋体"/>
                <w:sz w:val="18"/>
                <w:szCs w:val="18"/>
              </w:rPr>
              <w:t>甘科物业</w:t>
            </w:r>
            <w:proofErr w:type="gramEnd"/>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proofErr w:type="gramStart"/>
            <w:r>
              <w:rPr>
                <w:rFonts w:ascii="宋体" w:eastAsia="宋体" w:hAnsi="宋体" w:cs="宋体"/>
                <w:sz w:val="18"/>
                <w:szCs w:val="18"/>
              </w:rPr>
              <w:t>江门甘科物业管理</w:t>
            </w:r>
            <w:proofErr w:type="gramEnd"/>
            <w:r>
              <w:rPr>
                <w:rFonts w:ascii="宋体" w:eastAsia="宋体" w:hAnsi="宋体" w:cs="宋体"/>
                <w:sz w:val="18"/>
                <w:szCs w:val="18"/>
              </w:rPr>
              <w:t>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proofErr w:type="gramStart"/>
            <w:r>
              <w:rPr>
                <w:rFonts w:ascii="宋体" w:eastAsia="宋体" w:hAnsi="宋体" w:cs="宋体"/>
                <w:sz w:val="18"/>
                <w:szCs w:val="18"/>
              </w:rPr>
              <w:t>深圳陆巡</w:t>
            </w:r>
            <w:proofErr w:type="gramEnd"/>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深圳陆巡科技有限公司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北京惠风</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北京惠风联合防务科技有限公司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proofErr w:type="gramStart"/>
            <w:r>
              <w:rPr>
                <w:rFonts w:ascii="宋体" w:eastAsia="宋体" w:hAnsi="宋体" w:cs="宋体"/>
                <w:sz w:val="18"/>
                <w:szCs w:val="18"/>
              </w:rPr>
              <w:t>锴</w:t>
            </w:r>
            <w:proofErr w:type="gramEnd"/>
            <w:r>
              <w:rPr>
                <w:rFonts w:ascii="宋体" w:eastAsia="宋体" w:hAnsi="宋体" w:cs="宋体"/>
                <w:sz w:val="18"/>
                <w:szCs w:val="18"/>
              </w:rPr>
              <w:t>威特</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苏州锴威特半导体股份有限公司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北京聚能合源</w:t>
            </w:r>
            <w:r w:rsidR="001C4C55">
              <w:rPr>
                <w:rFonts w:ascii="宋体" w:eastAsia="宋体" w:hAnsi="宋体" w:cs="宋体" w:hint="eastAsia"/>
                <w:sz w:val="18"/>
                <w:szCs w:val="18"/>
              </w:rPr>
              <w:t>、</w:t>
            </w:r>
            <w:r w:rsidR="001C4C55">
              <w:rPr>
                <w:rFonts w:ascii="宋体" w:eastAsia="宋体" w:hAnsi="宋体" w:cs="宋体"/>
                <w:sz w:val="18"/>
                <w:szCs w:val="18"/>
              </w:rPr>
              <w:t>聚能合源</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北京聚能合源科技有限公司</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w:t>
            </w:r>
            <w:proofErr w:type="gramStart"/>
            <w:r>
              <w:rPr>
                <w:rFonts w:ascii="宋体" w:eastAsia="宋体" w:hAnsi="宋体" w:cs="宋体"/>
                <w:sz w:val="18"/>
                <w:szCs w:val="18"/>
              </w:rPr>
              <w:t>三旧</w:t>
            </w:r>
            <w:proofErr w:type="gramEnd"/>
            <w:r>
              <w:rPr>
                <w:rFonts w:ascii="宋体" w:eastAsia="宋体" w:hAnsi="宋体" w:cs="宋体"/>
                <w:sz w:val="18"/>
                <w:szCs w:val="18"/>
              </w:rPr>
              <w:t>"改造</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旧城镇、旧厂房、旧村庄改造</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中国证监会</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中国证券监督管理委员会</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深交所</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《公司法》</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《中华人民共和国公司法》</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《证券法》</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《中华人民共和国证券法》</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《公司章程》</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2024年6月13日公司2023年度股东大会审议通过的《公司章程》</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元、万元</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人民币元、人民币万元</w:t>
            </w:r>
          </w:p>
        </w:tc>
      </w:tr>
    </w:tbl>
    <w:p w:rsidR="00A27D66" w:rsidRDefault="00A2119D">
      <w:r>
        <w:br w:type="page"/>
      </w:r>
    </w:p>
    <w:p w:rsidR="00A27D66" w:rsidRDefault="00A2119D">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rsidR="00A27D66" w:rsidRDefault="00A2119D">
      <w:pPr>
        <w:pStyle w:val="2"/>
        <w:spacing w:before="300" w:after="300" w:line="320" w:lineRule="exact"/>
        <w:rPr>
          <w:rFonts w:ascii="宋体" w:eastAsia="宋体" w:hAnsi="宋体" w:cs="宋体"/>
          <w:b/>
          <w:bCs/>
          <w:sz w:val="24"/>
          <w:szCs w:val="24"/>
        </w:rPr>
      </w:pPr>
      <w:bookmarkStart w:id="2" w:name="_Toc988891"/>
      <w:r>
        <w:rPr>
          <w:rFonts w:ascii="宋体" w:eastAsia="宋体" w:hAnsi="宋体" w:cs="宋体"/>
          <w:b/>
          <w:bCs/>
          <w:sz w:val="24"/>
          <w:szCs w:val="24"/>
        </w:rPr>
        <w:t>一、公司信息</w:t>
      </w:r>
      <w:bookmarkEnd w:id="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694"/>
        <w:gridCol w:w="2125"/>
        <w:gridCol w:w="2410"/>
        <w:gridCol w:w="2410"/>
      </w:tblGrid>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212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甘化科工</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000576</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股票上市证券交易所</w:t>
            </w:r>
          </w:p>
        </w:tc>
        <w:tc>
          <w:tcPr>
            <w:tcW w:w="6945"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公司的中文名称</w:t>
            </w:r>
          </w:p>
        </w:tc>
        <w:tc>
          <w:tcPr>
            <w:tcW w:w="6945"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广东甘化科工股份有限公司</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公司的中文简称</w:t>
            </w:r>
          </w:p>
        </w:tc>
        <w:tc>
          <w:tcPr>
            <w:tcW w:w="6945"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甘化科工</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206303" w:rsidRDefault="00A2119D">
            <w:pPr>
              <w:spacing w:before="40" w:after="40" w:line="240" w:lineRule="exact"/>
              <w:rPr>
                <w:rFonts w:ascii="宋体" w:eastAsia="宋体" w:hAnsi="宋体" w:cs="宋体"/>
                <w:sz w:val="18"/>
                <w:szCs w:val="18"/>
              </w:rPr>
            </w:pPr>
            <w:r w:rsidRPr="00206303">
              <w:rPr>
                <w:rFonts w:ascii="宋体" w:eastAsia="宋体" w:hAnsi="宋体" w:cs="宋体"/>
                <w:sz w:val="18"/>
                <w:szCs w:val="18"/>
              </w:rPr>
              <w:t>公司的外文名称（如有）</w:t>
            </w:r>
          </w:p>
        </w:tc>
        <w:tc>
          <w:tcPr>
            <w:tcW w:w="6945" w:type="dxa"/>
            <w:gridSpan w:val="3"/>
            <w:tcBorders>
              <w:top w:val="single" w:sz="2" w:space="0" w:color="auto"/>
              <w:left w:val="single" w:sz="2" w:space="0" w:color="auto"/>
              <w:bottom w:val="single" w:sz="2" w:space="0" w:color="auto"/>
              <w:right w:val="single" w:sz="2" w:space="0" w:color="auto"/>
            </w:tcBorders>
            <w:vAlign w:val="center"/>
          </w:tcPr>
          <w:p w:rsidR="00A27D66" w:rsidRPr="00206303" w:rsidRDefault="00A2119D" w:rsidP="00206303">
            <w:pPr>
              <w:spacing w:line="240" w:lineRule="exact"/>
              <w:rPr>
                <w:rFonts w:ascii="宋体" w:eastAsia="宋体" w:hAnsi="宋体" w:cs="宋体"/>
                <w:sz w:val="18"/>
                <w:szCs w:val="18"/>
              </w:rPr>
            </w:pPr>
            <w:r w:rsidRPr="00206303">
              <w:rPr>
                <w:rFonts w:ascii="宋体" w:eastAsia="宋体" w:hAnsi="宋体" w:cs="宋体"/>
                <w:sz w:val="18"/>
                <w:szCs w:val="18"/>
              </w:rPr>
              <w:t>Guangdong</w:t>
            </w:r>
            <w:r w:rsidR="00206303" w:rsidRPr="00206303">
              <w:rPr>
                <w:rFonts w:ascii="宋体" w:eastAsia="宋体" w:hAnsi="宋体" w:cs="宋体"/>
                <w:sz w:val="18"/>
                <w:szCs w:val="18"/>
              </w:rPr>
              <w:t xml:space="preserve"> </w:t>
            </w:r>
            <w:r w:rsidRPr="00206303">
              <w:rPr>
                <w:rFonts w:ascii="宋体" w:eastAsia="宋体" w:hAnsi="宋体" w:cs="宋体"/>
                <w:sz w:val="18"/>
                <w:szCs w:val="18"/>
              </w:rPr>
              <w:t>Ganhua Science &amp; Industry Co.,Ltd.</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公司的外文名称缩写（如有）</w:t>
            </w:r>
          </w:p>
        </w:tc>
        <w:tc>
          <w:tcPr>
            <w:tcW w:w="6945"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GHSI</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公司的法定代表人</w:t>
            </w:r>
          </w:p>
        </w:tc>
        <w:tc>
          <w:tcPr>
            <w:tcW w:w="6945"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李忠</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注册地址</w:t>
            </w:r>
          </w:p>
        </w:tc>
        <w:tc>
          <w:tcPr>
            <w:tcW w:w="6945"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广东省江门市甘化路62号</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注册地址的邮政编码</w:t>
            </w:r>
          </w:p>
        </w:tc>
        <w:tc>
          <w:tcPr>
            <w:tcW w:w="6945"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529030</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公司注册地址历史变更情况</w:t>
            </w:r>
          </w:p>
        </w:tc>
        <w:tc>
          <w:tcPr>
            <w:tcW w:w="6945"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2019年9月，公司注册地址由“广东省江门市甘化路56号”变更为“广东省江门市甘化路62号”。</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办公地址</w:t>
            </w:r>
          </w:p>
        </w:tc>
        <w:tc>
          <w:tcPr>
            <w:tcW w:w="6945"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广东省江门市甘化路62号</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办公地址的邮政编码</w:t>
            </w:r>
          </w:p>
        </w:tc>
        <w:tc>
          <w:tcPr>
            <w:tcW w:w="6945"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529030</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公司网址</w:t>
            </w:r>
          </w:p>
        </w:tc>
        <w:tc>
          <w:tcPr>
            <w:tcW w:w="6945"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www.gdganhua.com</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6945"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gdganhua@126.com</w:t>
            </w:r>
          </w:p>
        </w:tc>
      </w:tr>
    </w:tbl>
    <w:p w:rsidR="00A27D66" w:rsidRDefault="00A2119D">
      <w:pPr>
        <w:pStyle w:val="2"/>
        <w:spacing w:before="300" w:after="300" w:line="320" w:lineRule="exact"/>
        <w:rPr>
          <w:rFonts w:ascii="宋体" w:eastAsia="宋体" w:hAnsi="宋体" w:cs="宋体"/>
          <w:b/>
          <w:bCs/>
          <w:sz w:val="24"/>
          <w:szCs w:val="24"/>
        </w:rPr>
      </w:pPr>
      <w:bookmarkStart w:id="3" w:name="_Toc988892"/>
      <w:r>
        <w:rPr>
          <w:rFonts w:ascii="宋体" w:eastAsia="宋体" w:hAnsi="宋体" w:cs="宋体"/>
          <w:b/>
          <w:bCs/>
          <w:sz w:val="24"/>
          <w:szCs w:val="24"/>
        </w:rPr>
        <w:t>二、联系人和联系方式</w:t>
      </w:r>
      <w:bookmarkEnd w:id="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证券事务代表</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陈波</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龚健鹏</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联系地址</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广东省江门市甘化路62号</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广东省江门市甘化路62号</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（0750）3277650、3277651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（0750）3277651、3277650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传真</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（0750）3277666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（0750）3277666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cb@gdganhua.com</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gjp@gdganhua.com</w:t>
            </w:r>
          </w:p>
        </w:tc>
      </w:tr>
    </w:tbl>
    <w:p w:rsidR="00A27D66" w:rsidRDefault="00A2119D">
      <w:pPr>
        <w:pStyle w:val="2"/>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t>三、信息披露及备置地点</w:t>
      </w:r>
      <w:bookmarkEnd w:id="4"/>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公司披露年度报告的证券交易所网站</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深圳证券交易所：http://www.szse.cn</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公司披露年度报告的媒体名称及网址</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《证券时报》《中国证券报》《证券日报》《上海证券报》、巨潮资讯网（http://www.cninfo.com.cn）</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公司年度报告备置地点</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本公司证券事务部</w:t>
            </w:r>
          </w:p>
        </w:tc>
      </w:tr>
    </w:tbl>
    <w:p w:rsidR="00A27D66" w:rsidRDefault="00A2119D">
      <w:pPr>
        <w:pStyle w:val="2"/>
        <w:spacing w:before="300" w:after="300" w:line="320" w:lineRule="exact"/>
        <w:rPr>
          <w:rFonts w:ascii="宋体" w:eastAsia="宋体" w:hAnsi="宋体" w:cs="宋体"/>
          <w:b/>
          <w:bCs/>
          <w:sz w:val="24"/>
          <w:szCs w:val="24"/>
        </w:rPr>
      </w:pPr>
      <w:bookmarkStart w:id="5" w:name="_Toc988894"/>
      <w:r>
        <w:rPr>
          <w:rFonts w:ascii="宋体" w:eastAsia="宋体" w:hAnsi="宋体" w:cs="宋体"/>
          <w:b/>
          <w:bCs/>
          <w:sz w:val="24"/>
          <w:szCs w:val="24"/>
        </w:rPr>
        <w:t>四、注册变更情况</w:t>
      </w:r>
      <w:bookmarkEnd w:id="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统一社会信用代码</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91440700190357288E</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公司上市以来主营业务的变化情况（如有）</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2013年，公司完成非公开发行后，主营业务由原来的制糖产业、浆纸产业和生化产业转变为LED产业、生化产业、糖纸贸易。2018年，公司出售了广东德力光电有限公司100%股权及广东江门生物技术开发中心有限公司55%股权，收购了沈阳含能控股权及升华电源100%股权，主营业</w:t>
            </w:r>
            <w:r>
              <w:rPr>
                <w:rFonts w:ascii="宋体" w:eastAsia="宋体" w:hAnsi="宋体" w:cs="宋体"/>
                <w:sz w:val="18"/>
                <w:szCs w:val="18"/>
              </w:rPr>
              <w:lastRenderedPageBreak/>
              <w:t>务由LED产业、生化产业、糖纸贸易转变为贸易业务和预制破片、电源等军工产品的研发、生产、销售。2022年5月，公司停止开展食糖类业务。目前公司主营业务为电源及相关产品、高性能特种合金材料制品等军工产品的研发、生产、销售。</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历次控股股东的变更情况（如有）</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2011年9月5日，公司控股股东由江门市资产管理局变更为德力西集团有限公司。</w:t>
            </w:r>
          </w:p>
        </w:tc>
      </w:tr>
    </w:tbl>
    <w:p w:rsidR="00A27D66" w:rsidRDefault="00A2119D">
      <w:pPr>
        <w:pStyle w:val="2"/>
        <w:spacing w:before="300" w:after="300" w:line="320" w:lineRule="exact"/>
        <w:rPr>
          <w:rFonts w:ascii="宋体" w:eastAsia="宋体" w:hAnsi="宋体" w:cs="宋体"/>
          <w:b/>
          <w:bCs/>
          <w:sz w:val="24"/>
          <w:szCs w:val="24"/>
        </w:rPr>
      </w:pPr>
      <w:bookmarkStart w:id="6" w:name="_Toc988895"/>
      <w:r>
        <w:rPr>
          <w:rFonts w:ascii="宋体" w:eastAsia="宋体" w:hAnsi="宋体" w:cs="宋体"/>
          <w:b/>
          <w:bCs/>
          <w:sz w:val="24"/>
          <w:szCs w:val="24"/>
        </w:rPr>
        <w:t>五、其他有关资料</w:t>
      </w:r>
      <w:bookmarkEnd w:id="6"/>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公司聘请的会计师事务所</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广东司农会计师事务所（特殊普通合伙）</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会计师事务所办公地址</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广州市天河区珠江新城华夏路32号太平洋金融大厦10楼</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签字会计师姓名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刘火旺、梁剑云</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公司聘请的报告期内履行持续督导职责的保荐机构</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公司聘请的报告期内履行持续督导职责的财务顾问</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7" w:name="_Toc988896"/>
      <w:r>
        <w:rPr>
          <w:rFonts w:ascii="宋体" w:eastAsia="宋体" w:hAnsi="宋体" w:cs="宋体"/>
          <w:b/>
          <w:bCs/>
          <w:sz w:val="24"/>
          <w:szCs w:val="24"/>
        </w:rPr>
        <w:t>六、主要会计数据和财务指标</w:t>
      </w:r>
      <w:bookmarkEnd w:id="7"/>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本年比上年增减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营业收入（元）</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396,288,612.52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323,277,259.89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22.58%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445,381,991.65</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E15F6A">
            <w:pPr>
              <w:spacing w:line="240" w:lineRule="exact"/>
              <w:jc w:val="right"/>
              <w:rPr>
                <w:rFonts w:ascii="宋体" w:eastAsia="宋体" w:hAnsi="宋体" w:cs="宋体"/>
                <w:sz w:val="18"/>
                <w:szCs w:val="18"/>
              </w:rPr>
            </w:pPr>
            <w:r w:rsidRPr="00E15F6A">
              <w:rPr>
                <w:rFonts w:ascii="宋体" w:eastAsia="宋体" w:hAnsi="宋体" w:cs="宋体"/>
                <w:sz w:val="18"/>
                <w:szCs w:val="18"/>
              </w:rPr>
              <w:t>20,514,596.04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-233,068,813.79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E15F6A">
            <w:pPr>
              <w:spacing w:line="240" w:lineRule="exact"/>
              <w:jc w:val="right"/>
              <w:rPr>
                <w:rFonts w:ascii="宋体" w:eastAsia="宋体" w:hAnsi="宋体" w:cs="宋体"/>
                <w:sz w:val="18"/>
                <w:szCs w:val="18"/>
              </w:rPr>
            </w:pPr>
            <w:r w:rsidRPr="00E15F6A">
              <w:rPr>
                <w:rFonts w:ascii="宋体" w:eastAsia="宋体" w:hAnsi="宋体" w:cs="宋体"/>
                <w:sz w:val="18"/>
                <w:szCs w:val="18"/>
              </w:rPr>
              <w:t>108.80%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119,160,090.71</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0F5E2D">
            <w:pPr>
              <w:spacing w:line="240" w:lineRule="exact"/>
              <w:jc w:val="right"/>
              <w:rPr>
                <w:rFonts w:ascii="宋体" w:eastAsia="宋体" w:hAnsi="宋体" w:cs="宋体"/>
                <w:sz w:val="18"/>
                <w:szCs w:val="18"/>
              </w:rPr>
            </w:pPr>
            <w:r w:rsidRPr="000F5E2D">
              <w:rPr>
                <w:rFonts w:ascii="宋体" w:eastAsia="宋体" w:hAnsi="宋体" w:cs="宋体"/>
                <w:sz w:val="18"/>
                <w:szCs w:val="18"/>
              </w:rPr>
              <w:t>4,211,289.83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-252,643,824.01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E15F6A">
            <w:pPr>
              <w:spacing w:line="240" w:lineRule="exact"/>
              <w:jc w:val="right"/>
              <w:rPr>
                <w:rFonts w:ascii="宋体" w:eastAsia="宋体" w:hAnsi="宋体" w:cs="宋体"/>
                <w:sz w:val="18"/>
                <w:szCs w:val="18"/>
              </w:rPr>
            </w:pPr>
            <w:r w:rsidRPr="00E15F6A">
              <w:rPr>
                <w:rFonts w:ascii="宋体" w:eastAsia="宋体" w:hAnsi="宋体" w:cs="宋体"/>
                <w:sz w:val="18"/>
                <w:szCs w:val="18"/>
              </w:rPr>
              <w:t>101.67%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98,834,903.21</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E15F6A">
            <w:pPr>
              <w:spacing w:line="240" w:lineRule="exact"/>
              <w:jc w:val="right"/>
              <w:rPr>
                <w:rFonts w:ascii="宋体" w:eastAsia="宋体" w:hAnsi="宋体" w:cs="宋体"/>
                <w:sz w:val="18"/>
                <w:szCs w:val="18"/>
              </w:rPr>
            </w:pPr>
            <w:r w:rsidRPr="00E15F6A">
              <w:rPr>
                <w:rFonts w:ascii="宋体" w:eastAsia="宋体" w:hAnsi="宋体" w:cs="宋体"/>
                <w:sz w:val="18"/>
                <w:szCs w:val="18"/>
              </w:rPr>
              <w:t>-55,830,185.38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42,624,132.37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E15F6A">
            <w:pPr>
              <w:spacing w:line="240" w:lineRule="exact"/>
              <w:jc w:val="right"/>
              <w:rPr>
                <w:rFonts w:ascii="宋体" w:eastAsia="宋体" w:hAnsi="宋体" w:cs="宋体"/>
                <w:sz w:val="18"/>
                <w:szCs w:val="18"/>
              </w:rPr>
            </w:pPr>
            <w:r w:rsidRPr="00E15F6A">
              <w:rPr>
                <w:rFonts w:ascii="宋体" w:eastAsia="宋体" w:hAnsi="宋体" w:cs="宋体"/>
                <w:sz w:val="18"/>
                <w:szCs w:val="18"/>
              </w:rPr>
              <w:t>-230.98%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-53,066,348.50</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109.43%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0.28</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109.43%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0.27</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E15F6A">
            <w:pPr>
              <w:spacing w:line="240" w:lineRule="exact"/>
              <w:jc w:val="right"/>
              <w:rPr>
                <w:rFonts w:ascii="宋体" w:eastAsia="宋体" w:hAnsi="宋体" w:cs="宋体"/>
                <w:sz w:val="18"/>
                <w:szCs w:val="18"/>
              </w:rPr>
            </w:pPr>
            <w:r w:rsidRPr="00E15F6A">
              <w:rPr>
                <w:rFonts w:ascii="宋体" w:eastAsia="宋体" w:hAnsi="宋体" w:cs="宋体"/>
                <w:sz w:val="18"/>
                <w:szCs w:val="18"/>
              </w:rPr>
              <w:t>1.28%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-13.64%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1448B5">
            <w:pPr>
              <w:spacing w:line="240" w:lineRule="exact"/>
              <w:jc w:val="right"/>
              <w:rPr>
                <w:rFonts w:ascii="宋体" w:eastAsia="宋体" w:hAnsi="宋体" w:cs="宋体"/>
                <w:sz w:val="18"/>
                <w:szCs w:val="18"/>
              </w:rPr>
            </w:pPr>
            <w:r w:rsidRPr="001448B5">
              <w:rPr>
                <w:rFonts w:ascii="宋体" w:eastAsia="宋体" w:hAnsi="宋体" w:cs="宋体"/>
                <w:sz w:val="18"/>
                <w:szCs w:val="18"/>
              </w:rPr>
              <w:t>14.92%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5D63D5" w:rsidP="005D63D5">
            <w:pPr>
              <w:spacing w:line="240" w:lineRule="exact"/>
              <w:jc w:val="right"/>
              <w:rPr>
                <w:rFonts w:ascii="宋体" w:eastAsia="宋体" w:hAnsi="宋体" w:cs="宋体"/>
                <w:sz w:val="18"/>
                <w:szCs w:val="18"/>
              </w:rPr>
            </w:pPr>
            <w:r w:rsidRPr="00277E5D">
              <w:rPr>
                <w:rFonts w:ascii="宋体" w:eastAsia="宋体" w:hAnsi="宋体" w:cs="宋体"/>
                <w:sz w:val="18"/>
                <w:szCs w:val="18"/>
              </w:rPr>
              <w:t>6.99</w:t>
            </w:r>
            <w:r w:rsidR="00A2119D" w:rsidRPr="00277E5D">
              <w:rPr>
                <w:rFonts w:ascii="宋体" w:eastAsia="宋体" w:hAnsi="宋体" w:cs="宋体"/>
                <w:sz w:val="18"/>
                <w:szCs w:val="18"/>
              </w:rPr>
              <w:t>%</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2023年末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本年末比上年末增减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2022年末</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总资产（元）</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E15F6A">
            <w:pPr>
              <w:spacing w:line="240" w:lineRule="exact"/>
              <w:jc w:val="right"/>
              <w:rPr>
                <w:rFonts w:ascii="宋体" w:eastAsia="宋体" w:hAnsi="宋体" w:cs="宋体"/>
                <w:sz w:val="18"/>
                <w:szCs w:val="18"/>
              </w:rPr>
            </w:pPr>
            <w:r w:rsidRPr="00E15F6A">
              <w:rPr>
                <w:rFonts w:ascii="宋体" w:eastAsia="宋体" w:hAnsi="宋体" w:cs="宋体"/>
                <w:sz w:val="18"/>
                <w:szCs w:val="18"/>
              </w:rPr>
              <w:t>1,844,340,893.78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1,841,724,750.08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0.14%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2,015,974,465.89</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E15F6A">
            <w:pPr>
              <w:spacing w:line="240" w:lineRule="exact"/>
              <w:jc w:val="right"/>
              <w:rPr>
                <w:rFonts w:ascii="宋体" w:eastAsia="宋体" w:hAnsi="宋体" w:cs="宋体"/>
                <w:sz w:val="18"/>
                <w:szCs w:val="18"/>
              </w:rPr>
            </w:pPr>
            <w:r w:rsidRPr="00E15F6A">
              <w:rPr>
                <w:rFonts w:ascii="宋体" w:eastAsia="宋体" w:hAnsi="宋体" w:cs="宋体"/>
                <w:sz w:val="18"/>
                <w:szCs w:val="18"/>
              </w:rPr>
              <w:t>1,612,340,099.58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1,609,597,227.59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rsidP="001448B5">
            <w:pPr>
              <w:spacing w:line="240" w:lineRule="exact"/>
              <w:jc w:val="right"/>
              <w:rPr>
                <w:rFonts w:ascii="宋体" w:eastAsia="宋体" w:hAnsi="宋体" w:cs="宋体"/>
                <w:sz w:val="18"/>
                <w:szCs w:val="18"/>
              </w:rPr>
            </w:pPr>
            <w:r>
              <w:rPr>
                <w:rFonts w:ascii="宋体" w:eastAsia="宋体" w:hAnsi="宋体" w:cs="宋体"/>
                <w:sz w:val="18"/>
                <w:szCs w:val="18"/>
              </w:rPr>
              <w:t>0.</w:t>
            </w:r>
            <w:r w:rsidR="001448B5">
              <w:rPr>
                <w:rFonts w:ascii="宋体" w:eastAsia="宋体" w:hAnsi="宋体" w:cs="宋体"/>
                <w:sz w:val="18"/>
                <w:szCs w:val="18"/>
              </w:rPr>
              <w:t>17</w:t>
            </w: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1,755,221,750.70</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公司最近三个会计年度扣除非经常性损益</w:t>
      </w:r>
      <w:proofErr w:type="gramStart"/>
      <w:r>
        <w:rPr>
          <w:rFonts w:ascii="宋体" w:eastAsia="宋体" w:hAnsi="宋体" w:cs="宋体"/>
          <w:sz w:val="18"/>
          <w:szCs w:val="18"/>
        </w:rPr>
        <w:t>前后净</w:t>
      </w:r>
      <w:proofErr w:type="gramEnd"/>
      <w:r>
        <w:rPr>
          <w:rFonts w:ascii="宋体" w:eastAsia="宋体" w:hAnsi="宋体" w:cs="宋体"/>
          <w:sz w:val="18"/>
          <w:szCs w:val="18"/>
        </w:rPr>
        <w:t>利润孰低者均为负值，且最近一年审计报告显示公司持续经营能力存在不确定性</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扣除非经常损益前后的净利润孰低者为负值</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pStyle w:val="2"/>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t>七、境内外会计准则下会计数据差异</w:t>
      </w:r>
      <w:bookmarkEnd w:id="8"/>
    </w:p>
    <w:p w:rsidR="00A27D66" w:rsidRDefault="00A2119D">
      <w:pPr>
        <w:pStyle w:val="3"/>
        <w:spacing w:line="280" w:lineRule="exact"/>
        <w:jc w:val="left"/>
        <w:rPr>
          <w:rFonts w:ascii="宋体" w:hAnsi="宋体" w:cs="宋体"/>
          <w:b/>
          <w:bCs/>
        </w:rPr>
      </w:pPr>
      <w:bookmarkStart w:id="9" w:name="_Toc988898"/>
      <w:r>
        <w:rPr>
          <w:rFonts w:ascii="宋体" w:hAnsi="宋体" w:cs="宋体"/>
          <w:b/>
          <w:bCs/>
        </w:rPr>
        <w:t>1、同时按照国际会计准则与按照中国会计准则披露的财务</w:t>
      </w:r>
      <w:proofErr w:type="gramStart"/>
      <w:r>
        <w:rPr>
          <w:rFonts w:ascii="宋体" w:hAnsi="宋体" w:cs="宋体"/>
          <w:b/>
          <w:bCs/>
        </w:rPr>
        <w:t>报告中净利润</w:t>
      </w:r>
      <w:proofErr w:type="gramEnd"/>
      <w:r>
        <w:rPr>
          <w:rFonts w:ascii="宋体" w:hAnsi="宋体" w:cs="宋体"/>
          <w:b/>
          <w:bCs/>
        </w:rPr>
        <w:t>和净资产差异情况</w:t>
      </w:r>
      <w:bookmarkEnd w:id="9"/>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公司报告期不存在按照国际会计准则与按照中国会计准则披露的财务</w:t>
      </w:r>
      <w:proofErr w:type="gramStart"/>
      <w:r>
        <w:rPr>
          <w:rFonts w:ascii="宋体" w:eastAsia="宋体" w:hAnsi="宋体" w:cs="宋体"/>
          <w:sz w:val="18"/>
          <w:szCs w:val="18"/>
        </w:rPr>
        <w:t>报告中净利润</w:t>
      </w:r>
      <w:proofErr w:type="gramEnd"/>
      <w:r>
        <w:rPr>
          <w:rFonts w:ascii="宋体" w:eastAsia="宋体" w:hAnsi="宋体" w:cs="宋体"/>
          <w:sz w:val="18"/>
          <w:szCs w:val="18"/>
        </w:rPr>
        <w:t>和净资产差异情况。</w:t>
      </w:r>
    </w:p>
    <w:p w:rsidR="00A27D66" w:rsidRDefault="00A2119D">
      <w:pPr>
        <w:pStyle w:val="3"/>
        <w:spacing w:line="280" w:lineRule="exact"/>
        <w:jc w:val="left"/>
        <w:rPr>
          <w:rFonts w:ascii="宋体" w:hAnsi="宋体" w:cs="宋体"/>
          <w:b/>
          <w:bCs/>
        </w:rPr>
      </w:pPr>
      <w:bookmarkStart w:id="10" w:name="_Toc988899"/>
      <w:r>
        <w:rPr>
          <w:rFonts w:ascii="宋体" w:hAnsi="宋体" w:cs="宋体"/>
          <w:b/>
          <w:bCs/>
        </w:rPr>
        <w:t>2、同时按照境外会计准则与按照中国会计准则披露的财务</w:t>
      </w:r>
      <w:proofErr w:type="gramStart"/>
      <w:r>
        <w:rPr>
          <w:rFonts w:ascii="宋体" w:hAnsi="宋体" w:cs="宋体"/>
          <w:b/>
          <w:bCs/>
        </w:rPr>
        <w:t>报告中净利润</w:t>
      </w:r>
      <w:proofErr w:type="gramEnd"/>
      <w:r>
        <w:rPr>
          <w:rFonts w:ascii="宋体" w:hAnsi="宋体" w:cs="宋体"/>
          <w:b/>
          <w:bCs/>
        </w:rPr>
        <w:t>和净资产差异情况</w:t>
      </w:r>
      <w:bookmarkEnd w:id="10"/>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公司报告期不存在按照境外会计准则与按照中国会计准则披露的财务</w:t>
      </w:r>
      <w:proofErr w:type="gramStart"/>
      <w:r>
        <w:rPr>
          <w:rFonts w:ascii="宋体" w:eastAsia="宋体" w:hAnsi="宋体" w:cs="宋体"/>
          <w:sz w:val="18"/>
          <w:szCs w:val="18"/>
        </w:rPr>
        <w:t>报告中净利润</w:t>
      </w:r>
      <w:proofErr w:type="gramEnd"/>
      <w:r>
        <w:rPr>
          <w:rFonts w:ascii="宋体" w:eastAsia="宋体" w:hAnsi="宋体" w:cs="宋体"/>
          <w:sz w:val="18"/>
          <w:szCs w:val="18"/>
        </w:rPr>
        <w:t>和净资产差异情况。</w:t>
      </w:r>
    </w:p>
    <w:p w:rsidR="00A27D66" w:rsidRDefault="00A2119D">
      <w:pPr>
        <w:pStyle w:val="2"/>
        <w:spacing w:before="300" w:after="300" w:line="320" w:lineRule="exact"/>
        <w:rPr>
          <w:rFonts w:ascii="宋体" w:eastAsia="宋体" w:hAnsi="宋体" w:cs="宋体"/>
          <w:b/>
          <w:bCs/>
          <w:sz w:val="24"/>
          <w:szCs w:val="24"/>
        </w:rPr>
      </w:pPr>
      <w:bookmarkStart w:id="11" w:name="_Toc988900"/>
      <w:r>
        <w:rPr>
          <w:rFonts w:ascii="宋体" w:eastAsia="宋体" w:hAnsi="宋体" w:cs="宋体"/>
          <w:b/>
          <w:bCs/>
          <w:sz w:val="24"/>
          <w:szCs w:val="24"/>
        </w:rPr>
        <w:t>八、分季度主要财务指标</w:t>
      </w:r>
      <w:bookmarkEnd w:id="11"/>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694"/>
        <w:gridCol w:w="1842"/>
        <w:gridCol w:w="1843"/>
        <w:gridCol w:w="1559"/>
        <w:gridCol w:w="1701"/>
      </w:tblGrid>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第一季度</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第二季度</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第三季度</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第四季度</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77,848,729.29</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121,244,981.43</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79,286,932.25</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117,907,969.55</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13,820,019.32</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12,531,628.38</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-6,323,269.61</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1448B5">
            <w:pPr>
              <w:spacing w:line="240" w:lineRule="exact"/>
              <w:jc w:val="right"/>
              <w:rPr>
                <w:rFonts w:ascii="宋体" w:eastAsia="宋体" w:hAnsi="宋体" w:cs="宋体"/>
                <w:sz w:val="18"/>
                <w:szCs w:val="18"/>
              </w:rPr>
            </w:pPr>
            <w:r w:rsidRPr="001448B5">
              <w:rPr>
                <w:rFonts w:ascii="宋体" w:eastAsia="宋体" w:hAnsi="宋体" w:cs="宋体"/>
                <w:sz w:val="18"/>
                <w:szCs w:val="18"/>
              </w:rPr>
              <w:t>486,217.95</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7,571,162.32</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8,965,735.23</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-7,709,945.43</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103AD1">
            <w:pPr>
              <w:spacing w:line="240" w:lineRule="exact"/>
              <w:jc w:val="right"/>
              <w:rPr>
                <w:rFonts w:ascii="宋体" w:eastAsia="宋体" w:hAnsi="宋体" w:cs="宋体"/>
                <w:sz w:val="18"/>
                <w:szCs w:val="18"/>
              </w:rPr>
            </w:pPr>
            <w:r w:rsidRPr="00446A85">
              <w:rPr>
                <w:rFonts w:ascii="宋体" w:eastAsia="宋体" w:hAnsi="宋体" w:cs="宋体"/>
                <w:sz w:val="18"/>
                <w:szCs w:val="18"/>
              </w:rPr>
              <w:t>-4,615,662.29</w:t>
            </w:r>
          </w:p>
        </w:tc>
      </w:tr>
      <w:tr w:rsidR="00A27D66" w:rsidTr="00A2119D">
        <w:trPr>
          <w:trHeight w:val="240"/>
        </w:trPr>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-6,116,427.18</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-11,651,299.42</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-30,147,407.76</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1448B5">
            <w:pPr>
              <w:spacing w:line="240" w:lineRule="exact"/>
              <w:jc w:val="right"/>
              <w:rPr>
                <w:rFonts w:ascii="宋体" w:eastAsia="宋体" w:hAnsi="宋体" w:cs="宋体"/>
                <w:sz w:val="18"/>
                <w:szCs w:val="18"/>
              </w:rPr>
            </w:pPr>
            <w:r w:rsidRPr="001448B5">
              <w:rPr>
                <w:rFonts w:ascii="宋体" w:eastAsia="宋体" w:hAnsi="宋体" w:cs="宋体"/>
                <w:sz w:val="18"/>
                <w:szCs w:val="18"/>
              </w:rPr>
              <w:t>-7,915,051.02</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上述财务指标或其加总数是否与公司已披露季度报告、半年度报告相关财务指标存在重大差异</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pStyle w:val="2"/>
        <w:spacing w:before="300" w:after="300" w:line="320" w:lineRule="exact"/>
        <w:rPr>
          <w:rFonts w:ascii="宋体" w:eastAsia="宋体" w:hAnsi="宋体" w:cs="宋体"/>
          <w:b/>
          <w:bCs/>
          <w:sz w:val="24"/>
          <w:szCs w:val="24"/>
        </w:rPr>
      </w:pPr>
      <w:bookmarkStart w:id="12" w:name="_Toc988901"/>
      <w:r>
        <w:rPr>
          <w:rFonts w:ascii="宋体" w:eastAsia="宋体" w:hAnsi="宋体" w:cs="宋体"/>
          <w:b/>
          <w:bCs/>
          <w:sz w:val="24"/>
          <w:szCs w:val="24"/>
        </w:rPr>
        <w:t>九、非经常性损益项目及金额</w:t>
      </w:r>
      <w:bookmarkEnd w:id="12"/>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544"/>
        <w:gridCol w:w="1559"/>
        <w:gridCol w:w="1560"/>
        <w:gridCol w:w="1701"/>
        <w:gridCol w:w="1275"/>
      </w:tblGrid>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2024年金额</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2023年金额</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2022年金额</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非流动性资产处置损益（包括已计提资产减值准备的冲销部分）</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953733">
            <w:pPr>
              <w:spacing w:line="240" w:lineRule="exact"/>
              <w:jc w:val="right"/>
              <w:rPr>
                <w:rFonts w:ascii="宋体" w:eastAsia="宋体" w:hAnsi="宋体" w:cs="宋体"/>
                <w:sz w:val="18"/>
                <w:szCs w:val="18"/>
              </w:rPr>
            </w:pPr>
            <w:r w:rsidRPr="00A4785D">
              <w:rPr>
                <w:rFonts w:ascii="宋体" w:eastAsia="宋体" w:hAnsi="宋体" w:cs="宋体"/>
                <w:sz w:val="18"/>
                <w:szCs w:val="18"/>
              </w:rPr>
              <w:t>-876,111.38</w:t>
            </w:r>
          </w:p>
        </w:tc>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-50,137.40</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17,193.76</w:t>
            </w:r>
          </w:p>
        </w:tc>
        <w:tc>
          <w:tcPr>
            <w:tcW w:w="127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12,591,290.97</w:t>
            </w:r>
          </w:p>
        </w:tc>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1,681,982.37</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3,864,065.57</w:t>
            </w:r>
          </w:p>
        </w:tc>
        <w:tc>
          <w:tcPr>
            <w:tcW w:w="127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4,169,088.25</w:t>
            </w:r>
          </w:p>
        </w:tc>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-85,685.81</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-436,849.35</w:t>
            </w:r>
          </w:p>
        </w:tc>
        <w:tc>
          <w:tcPr>
            <w:tcW w:w="127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953733">
            <w:pPr>
              <w:spacing w:line="240" w:lineRule="exact"/>
              <w:jc w:val="right"/>
              <w:rPr>
                <w:rFonts w:ascii="宋体" w:eastAsia="宋体" w:hAnsi="宋体" w:cs="宋体"/>
                <w:sz w:val="18"/>
                <w:szCs w:val="18"/>
              </w:rPr>
            </w:pPr>
            <w:r w:rsidRPr="00A4785D">
              <w:rPr>
                <w:rFonts w:ascii="宋体" w:eastAsia="宋体" w:hAnsi="宋体" w:cs="宋体"/>
                <w:sz w:val="18"/>
                <w:szCs w:val="18"/>
              </w:rPr>
              <w:t>2,562,268.90</w:t>
            </w:r>
          </w:p>
        </w:tc>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6,833,153.34</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5,267,570.69</w:t>
            </w:r>
          </w:p>
        </w:tc>
        <w:tc>
          <w:tcPr>
            <w:tcW w:w="127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企业取得子公司、联营企业及合营企业的投资成本小于取得投资时应享有被投资单位可辨认净资产公允价值产生的收益</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274,470.97</w:t>
            </w:r>
          </w:p>
        </w:tc>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6,118.21</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7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755,359.40</w:t>
            </w:r>
          </w:p>
        </w:tc>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16,565,693.81</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15,859,994.45</w:t>
            </w:r>
          </w:p>
        </w:tc>
        <w:tc>
          <w:tcPr>
            <w:tcW w:w="127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其他符合非经常性损益定义的损益项目</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262,653.51</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1,384,324.54</w:t>
            </w:r>
          </w:p>
        </w:tc>
        <w:tc>
          <w:tcPr>
            <w:tcW w:w="127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FE72AB">
            <w:pPr>
              <w:spacing w:line="240" w:lineRule="exact"/>
              <w:jc w:val="right"/>
              <w:rPr>
                <w:rFonts w:ascii="宋体" w:eastAsia="宋体" w:hAnsi="宋体" w:cs="宋体"/>
                <w:sz w:val="18"/>
                <w:szCs w:val="18"/>
              </w:rPr>
            </w:pPr>
            <w:r w:rsidRPr="00FE72AB">
              <w:rPr>
                <w:rFonts w:ascii="宋体" w:eastAsia="宋体" w:hAnsi="宋体" w:cs="宋体"/>
                <w:sz w:val="18"/>
                <w:szCs w:val="18"/>
              </w:rPr>
              <w:t>3,031,797.42</w:t>
            </w:r>
          </w:p>
        </w:tc>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5,567,493.08</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5,472,152.16</w:t>
            </w:r>
          </w:p>
        </w:tc>
        <w:tc>
          <w:tcPr>
            <w:tcW w:w="127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141,263.48</w:t>
            </w:r>
          </w:p>
        </w:tc>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71,274.73</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158,960.00</w:t>
            </w:r>
          </w:p>
        </w:tc>
        <w:tc>
          <w:tcPr>
            <w:tcW w:w="127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A2119D">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FE72AB">
            <w:pPr>
              <w:spacing w:line="240" w:lineRule="exact"/>
              <w:jc w:val="right"/>
              <w:rPr>
                <w:rFonts w:ascii="宋体" w:eastAsia="宋体" w:hAnsi="宋体" w:cs="宋体"/>
                <w:sz w:val="18"/>
                <w:szCs w:val="18"/>
              </w:rPr>
            </w:pPr>
            <w:r w:rsidRPr="00FE72AB">
              <w:rPr>
                <w:rFonts w:ascii="宋体" w:eastAsia="宋体" w:hAnsi="宋体" w:cs="宋体"/>
                <w:sz w:val="18"/>
                <w:szCs w:val="18"/>
              </w:rPr>
              <w:t>16,303,306.21</w:t>
            </w:r>
          </w:p>
        </w:tc>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19,575,010.22</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20,325,187.50</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shd w:val="clear" w:color="auto" w:fill="D3D3D3"/>
              </w:rPr>
            </w:pPr>
            <w:r>
              <w:rPr>
                <w:rFonts w:ascii="宋体" w:eastAsia="宋体" w:hAnsi="宋体" w:cs="宋体"/>
                <w:sz w:val="18"/>
                <w:szCs w:val="18"/>
                <w:shd w:val="clear" w:color="auto" w:fill="D3D3D3"/>
              </w:rPr>
              <w:t>--</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公司不存在将《公开发行证券的公司信息披露解释性公告第1号——非经常性损益》中列举的非经常性损益项目界定为经常性损益的项目的情形。</w:t>
      </w:r>
    </w:p>
    <w:p w:rsidR="00A27D66" w:rsidRDefault="00A2119D">
      <w:r>
        <w:br w:type="page"/>
      </w:r>
    </w:p>
    <w:p w:rsidR="00A27D66" w:rsidRDefault="00A2119D" w:rsidP="00444118">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w:t>
      </w:r>
      <w:proofErr w:type="gramStart"/>
      <w:r>
        <w:rPr>
          <w:rFonts w:ascii="宋体" w:eastAsia="宋体" w:hAnsi="宋体" w:cs="宋体"/>
          <w:b/>
          <w:bCs/>
          <w:sz w:val="32"/>
          <w:szCs w:val="32"/>
        </w:rPr>
        <w:t>层讨论</w:t>
      </w:r>
      <w:proofErr w:type="gramEnd"/>
      <w:r>
        <w:rPr>
          <w:rFonts w:ascii="宋体" w:eastAsia="宋体" w:hAnsi="宋体" w:cs="宋体"/>
          <w:b/>
          <w:bCs/>
          <w:sz w:val="32"/>
          <w:szCs w:val="32"/>
        </w:rPr>
        <w:t>与分析</w:t>
      </w:r>
      <w:bookmarkEnd w:id="13"/>
    </w:p>
    <w:p w:rsidR="00A27D66" w:rsidRDefault="00A2119D" w:rsidP="00CB5CA2">
      <w:pPr>
        <w:pStyle w:val="2"/>
        <w:spacing w:before="300" w:after="300" w:line="320" w:lineRule="exact"/>
        <w:rPr>
          <w:rFonts w:ascii="宋体" w:eastAsia="宋体" w:hAnsi="宋体" w:cs="宋体"/>
          <w:b/>
          <w:bCs/>
          <w:sz w:val="24"/>
          <w:szCs w:val="24"/>
        </w:rPr>
      </w:pPr>
      <w:bookmarkStart w:id="14" w:name="_Toc988903"/>
      <w:r>
        <w:rPr>
          <w:rFonts w:ascii="宋体" w:eastAsia="宋体" w:hAnsi="宋体" w:cs="宋体"/>
          <w:b/>
          <w:bCs/>
          <w:sz w:val="24"/>
          <w:szCs w:val="24"/>
        </w:rPr>
        <w:t>一、报告期内公司所处行业情况</w:t>
      </w:r>
      <w:bookmarkEnd w:id="14"/>
    </w:p>
    <w:p w:rsidR="00A2119D" w:rsidRPr="00277E5D" w:rsidRDefault="00A2119D" w:rsidP="00CB5CA2">
      <w:pPr>
        <w:pStyle w:val="a3"/>
        <w:spacing w:before="0" w:beforeAutospacing="0" w:after="0" w:afterAutospacing="0" w:line="360" w:lineRule="auto"/>
        <w:ind w:firstLine="561"/>
        <w:jc w:val="both"/>
        <w:divId w:val="2145850380"/>
        <w:rPr>
          <w:rFonts w:cs="Calibri"/>
          <w:sz w:val="21"/>
          <w:szCs w:val="21"/>
        </w:rPr>
      </w:pPr>
      <w:r w:rsidRPr="00277E5D">
        <w:rPr>
          <w:rFonts w:cs="Calibri" w:hint="eastAsia"/>
          <w:sz w:val="21"/>
          <w:szCs w:val="21"/>
        </w:rPr>
        <w:t xml:space="preserve">公司主营业务为电源及相关产品、高性能特种合金材料制品等军工产品的研发、生产、销售。根据《中国上市公司协会上市公司行业统计分类指引》，公司所处行业属于“计算机、通信和其他电子设备制造业”。 </w:t>
      </w:r>
    </w:p>
    <w:p w:rsidR="00A2119D" w:rsidRPr="00277E5D" w:rsidRDefault="00A2119D" w:rsidP="00CB5CA2">
      <w:pPr>
        <w:pStyle w:val="a3"/>
        <w:spacing w:before="0" w:beforeAutospacing="0" w:after="0" w:afterAutospacing="0" w:line="360" w:lineRule="auto"/>
        <w:ind w:firstLine="561"/>
        <w:jc w:val="both"/>
        <w:divId w:val="2145850380"/>
        <w:rPr>
          <w:rFonts w:cs="Calibri"/>
          <w:sz w:val="21"/>
          <w:szCs w:val="21"/>
        </w:rPr>
      </w:pPr>
      <w:r w:rsidRPr="00277E5D">
        <w:rPr>
          <w:rFonts w:cs="Calibri" w:hint="eastAsia"/>
          <w:sz w:val="21"/>
          <w:szCs w:val="21"/>
        </w:rPr>
        <w:t>公司所处行业是国防科技工业的重要组成部分，国防科技工业是国家战略性产业，是国家科技水平的主要体现和工业体系的重要支撑。其产业发展不仅与国民经济建设和科学技术进步相辅相成，也对增强我国国防实力，促进国防和军队现代化建设，提升国际影响力有着重要作用。</w:t>
      </w:r>
    </w:p>
    <w:p w:rsidR="00A2119D" w:rsidRPr="00277E5D" w:rsidRDefault="00A2119D" w:rsidP="00CB5CA2">
      <w:pPr>
        <w:pStyle w:val="a3"/>
        <w:spacing w:before="0" w:beforeAutospacing="0" w:after="0" w:afterAutospacing="0" w:line="360" w:lineRule="auto"/>
        <w:ind w:firstLine="561"/>
        <w:jc w:val="both"/>
        <w:divId w:val="2145850380"/>
        <w:rPr>
          <w:rFonts w:cs="Calibri"/>
          <w:sz w:val="21"/>
          <w:szCs w:val="21"/>
        </w:rPr>
      </w:pPr>
      <w:r w:rsidRPr="00277E5D">
        <w:rPr>
          <w:rFonts w:cs="Calibri" w:hint="eastAsia"/>
          <w:sz w:val="21"/>
          <w:szCs w:val="21"/>
        </w:rPr>
        <w:t>2024年，受</w:t>
      </w:r>
      <w:r w:rsidR="00C369D4" w:rsidRPr="00277E5D">
        <w:rPr>
          <w:rFonts w:cs="Calibri" w:hint="eastAsia"/>
          <w:sz w:val="21"/>
          <w:szCs w:val="21"/>
        </w:rPr>
        <w:t>军工行业订单阶段性滞后影响，部分</w:t>
      </w:r>
      <w:r w:rsidRPr="00277E5D">
        <w:rPr>
          <w:rFonts w:cs="Calibri" w:hint="eastAsia"/>
          <w:sz w:val="21"/>
          <w:szCs w:val="21"/>
        </w:rPr>
        <w:t>企业收入确认节奏放缓，业绩下滑。2025年作为“十四五”收官之年，前期延迟的订单有望兑现；以及随着“十五五”计划逐步明朗，将对行业发展带来积极正面影响，公司也有望从中获益。</w:t>
      </w:r>
    </w:p>
    <w:p w:rsidR="00A2119D" w:rsidRPr="00277E5D" w:rsidRDefault="00A2119D" w:rsidP="00CB5CA2">
      <w:pPr>
        <w:pStyle w:val="a3"/>
        <w:spacing w:before="0" w:beforeAutospacing="0" w:after="0" w:afterAutospacing="0" w:line="360" w:lineRule="auto"/>
        <w:ind w:firstLine="561"/>
        <w:jc w:val="both"/>
        <w:divId w:val="2145850380"/>
        <w:rPr>
          <w:rFonts w:cs="Calibri"/>
          <w:sz w:val="21"/>
          <w:szCs w:val="21"/>
        </w:rPr>
      </w:pPr>
      <w:r w:rsidRPr="00277E5D">
        <w:rPr>
          <w:rFonts w:cs="Calibri" w:hint="eastAsia"/>
          <w:sz w:val="21"/>
          <w:szCs w:val="21"/>
        </w:rPr>
        <w:t>公司是一家为军工电子化关键部件提供特种电源，为核心杀伤性武器提供预制破片，以及积极推进非晶合金材料在武器领域运用，以研发见长的民营军工企业。子公司升华电源拥有十余年的深厚技术基础沉淀，是国内领先的特种电源供应商；子公司沈阳含能与沈阳非晶在高性能特种合金材料制品行业也具有各自的优势。随着我国近年来军费预算的同比稳步增长，为国防装备的发展提供了支撑，也为公司军工业务的拓展带来了机遇。</w:t>
      </w:r>
    </w:p>
    <w:p w:rsidR="00A27D66" w:rsidRPr="00277E5D" w:rsidRDefault="00A2119D" w:rsidP="00CB5CA2">
      <w:pPr>
        <w:pStyle w:val="2"/>
        <w:spacing w:before="300" w:after="300" w:line="320" w:lineRule="exact"/>
        <w:rPr>
          <w:rFonts w:ascii="宋体" w:eastAsia="宋体" w:hAnsi="宋体" w:cs="宋体"/>
          <w:b/>
          <w:bCs/>
          <w:sz w:val="24"/>
          <w:szCs w:val="24"/>
        </w:rPr>
      </w:pPr>
      <w:bookmarkStart w:id="15" w:name="_Toc988904"/>
      <w:r w:rsidRPr="00277E5D">
        <w:rPr>
          <w:rFonts w:ascii="宋体" w:eastAsia="宋体" w:hAnsi="宋体" w:cs="宋体"/>
          <w:b/>
          <w:bCs/>
          <w:sz w:val="24"/>
          <w:szCs w:val="24"/>
        </w:rPr>
        <w:t>二、报告期内公司从事的主要业务</w:t>
      </w:r>
      <w:bookmarkEnd w:id="15"/>
    </w:p>
    <w:p w:rsidR="00A2119D" w:rsidRPr="00277E5D" w:rsidRDefault="00A2119D" w:rsidP="00CB5CA2">
      <w:pPr>
        <w:pStyle w:val="a3"/>
        <w:spacing w:before="0" w:beforeAutospacing="0" w:after="0" w:afterAutospacing="0" w:line="360" w:lineRule="auto"/>
        <w:ind w:firstLine="561"/>
        <w:jc w:val="both"/>
        <w:divId w:val="626005873"/>
        <w:rPr>
          <w:rFonts w:cs="Calibri"/>
          <w:sz w:val="21"/>
          <w:szCs w:val="21"/>
        </w:rPr>
      </w:pPr>
      <w:r w:rsidRPr="00277E5D">
        <w:rPr>
          <w:rFonts w:cs="Calibri" w:hint="eastAsia"/>
          <w:sz w:val="21"/>
          <w:szCs w:val="21"/>
        </w:rPr>
        <w:t>公司主营业务为电源及相关产品、高性能特种合金材料制品等军工产品的研发、生产、销售。</w:t>
      </w:r>
    </w:p>
    <w:p w:rsidR="00A2119D" w:rsidRPr="00277E5D" w:rsidRDefault="00A2119D" w:rsidP="00CB5CA2">
      <w:pPr>
        <w:pStyle w:val="a3"/>
        <w:shd w:val="clear" w:color="auto" w:fill="FFFFFF"/>
        <w:spacing w:before="0" w:beforeAutospacing="0" w:after="0" w:afterAutospacing="0" w:line="360" w:lineRule="auto"/>
        <w:ind w:firstLine="562"/>
        <w:jc w:val="both"/>
        <w:divId w:val="626005873"/>
        <w:rPr>
          <w:sz w:val="21"/>
          <w:szCs w:val="21"/>
        </w:rPr>
      </w:pPr>
      <w:r w:rsidRPr="00277E5D">
        <w:rPr>
          <w:rStyle w:val="a4"/>
          <w:rFonts w:hint="eastAsia"/>
          <w:sz w:val="21"/>
          <w:szCs w:val="21"/>
        </w:rPr>
        <w:t>1、电源及相关产品业务</w:t>
      </w:r>
    </w:p>
    <w:p w:rsidR="00A2119D" w:rsidRPr="00277E5D" w:rsidRDefault="00A2119D" w:rsidP="00CB5CA2">
      <w:pPr>
        <w:pStyle w:val="a3"/>
        <w:shd w:val="clear" w:color="auto" w:fill="FFFFFF"/>
        <w:spacing w:before="0" w:beforeAutospacing="0" w:after="0" w:afterAutospacing="0" w:line="360" w:lineRule="auto"/>
        <w:ind w:firstLine="560"/>
        <w:jc w:val="both"/>
        <w:divId w:val="626005873"/>
        <w:rPr>
          <w:sz w:val="21"/>
          <w:szCs w:val="21"/>
        </w:rPr>
      </w:pPr>
      <w:r w:rsidRPr="00277E5D">
        <w:rPr>
          <w:rFonts w:hint="eastAsia"/>
          <w:sz w:val="21"/>
          <w:szCs w:val="21"/>
        </w:rPr>
        <w:t>公司电源及相关产品业务由全资子公司升华电源和四川甘华承担。</w:t>
      </w:r>
    </w:p>
    <w:p w:rsidR="00A2119D" w:rsidRPr="00277E5D" w:rsidRDefault="00A2119D" w:rsidP="00CB5CA2">
      <w:pPr>
        <w:pStyle w:val="a3"/>
        <w:spacing w:before="0" w:beforeAutospacing="0" w:after="0" w:afterAutospacing="0" w:line="360" w:lineRule="auto"/>
        <w:ind w:firstLine="560"/>
        <w:jc w:val="both"/>
        <w:divId w:val="626005873"/>
        <w:rPr>
          <w:rFonts w:cs="Calibri"/>
          <w:sz w:val="21"/>
          <w:szCs w:val="21"/>
        </w:rPr>
      </w:pPr>
      <w:r w:rsidRPr="00277E5D">
        <w:rPr>
          <w:rFonts w:cs="Calibri" w:hint="eastAsia"/>
          <w:sz w:val="21"/>
          <w:szCs w:val="21"/>
        </w:rPr>
        <w:t>（1）升华电源专业从事高效率、高可靠性、高功率密度电源产品的开发设计、生产、销售与服务，已经建成了可靠性高、质量稳定、技术先进、应用范围广泛、规格品种齐全的电源产品线，致力于为客户提供可靠优质的电源全面解决方案。升华电源生产的电源属于“电源变换器”，不同于物理或化学电源（如干电池等），其本身并不产生电能，而是完成不同制式电能间的转换。当电子设备对于电压及电流提出各种各样的特殊要求而供电环境不能满足其多样化需求时，需要通过电源变换器把可获取的电能制式转换为电子设备需要的制式。升华电源以模块电源系统和定制电源系统这两大类产品，服务于机载、舰载、</w:t>
      </w:r>
      <w:proofErr w:type="gramStart"/>
      <w:r w:rsidRPr="00277E5D">
        <w:rPr>
          <w:rFonts w:cs="Calibri" w:hint="eastAsia"/>
          <w:sz w:val="21"/>
          <w:szCs w:val="21"/>
        </w:rPr>
        <w:t>弹载等多种</w:t>
      </w:r>
      <w:proofErr w:type="gramEnd"/>
      <w:r w:rsidRPr="00277E5D">
        <w:rPr>
          <w:rFonts w:cs="Calibri" w:hint="eastAsia"/>
          <w:sz w:val="21"/>
          <w:szCs w:val="21"/>
        </w:rPr>
        <w:t>武器平台，主要客户涵盖国内知名军工企业、军工科研院所、军工厂等。</w:t>
      </w:r>
    </w:p>
    <w:p w:rsidR="00A2119D" w:rsidRPr="00277E5D" w:rsidRDefault="00A2119D" w:rsidP="00CB5CA2">
      <w:pPr>
        <w:pStyle w:val="a3"/>
        <w:spacing w:before="0" w:beforeAutospacing="0" w:after="0" w:afterAutospacing="0" w:line="360" w:lineRule="auto"/>
        <w:ind w:firstLine="560"/>
        <w:jc w:val="both"/>
        <w:divId w:val="626005873"/>
        <w:rPr>
          <w:rFonts w:cs="Calibri"/>
          <w:sz w:val="21"/>
          <w:szCs w:val="21"/>
        </w:rPr>
      </w:pPr>
      <w:r w:rsidRPr="00277E5D">
        <w:rPr>
          <w:rFonts w:cs="Calibri" w:hint="eastAsia"/>
          <w:sz w:val="21"/>
          <w:szCs w:val="21"/>
        </w:rPr>
        <w:lastRenderedPageBreak/>
        <w:t>升华电源的主要产品包括模块电源和定制电源系统两大类：</w:t>
      </w:r>
    </w:p>
    <w:p w:rsidR="00A2119D" w:rsidRPr="00277E5D" w:rsidRDefault="00A2119D" w:rsidP="00CB5CA2">
      <w:pPr>
        <w:pStyle w:val="a3"/>
        <w:spacing w:before="0" w:beforeAutospacing="0" w:after="0" w:afterAutospacing="0" w:line="360" w:lineRule="auto"/>
        <w:ind w:firstLine="560"/>
        <w:jc w:val="both"/>
        <w:divId w:val="626005873"/>
        <w:rPr>
          <w:rFonts w:cs="Calibri"/>
          <w:sz w:val="21"/>
          <w:szCs w:val="21"/>
        </w:rPr>
      </w:pPr>
      <w:r w:rsidRPr="00277E5D">
        <w:rPr>
          <w:rFonts w:cs="Calibri" w:hint="eastAsia"/>
          <w:sz w:val="21"/>
          <w:szCs w:val="21"/>
        </w:rPr>
        <w:t>模块电源采用先进的电路和结构设计，利用先进的工艺和封装技术制造，形成一个结构紧凑、效率高、体积小、高可靠性的电子稳压电源，是可以直接安装（主要为焊接）在印刷电路板上的电源变换器。模块电源是一个高度集成化的电源产品，强调封装标准化，产品具有小、薄、轻的特点。</w:t>
      </w:r>
    </w:p>
    <w:p w:rsidR="00A2119D" w:rsidRPr="00277E5D" w:rsidRDefault="00A2119D" w:rsidP="00CB5CA2">
      <w:pPr>
        <w:pStyle w:val="a3"/>
        <w:spacing w:before="0" w:beforeAutospacing="0" w:after="0" w:afterAutospacing="0" w:line="360" w:lineRule="auto"/>
        <w:ind w:firstLine="560"/>
        <w:jc w:val="both"/>
        <w:divId w:val="626005873"/>
        <w:rPr>
          <w:rFonts w:cs="Calibri"/>
          <w:sz w:val="21"/>
          <w:szCs w:val="21"/>
        </w:rPr>
      </w:pPr>
      <w:r w:rsidRPr="00277E5D">
        <w:rPr>
          <w:rFonts w:cs="Calibri" w:hint="eastAsia"/>
          <w:sz w:val="21"/>
          <w:szCs w:val="21"/>
        </w:rPr>
        <w:t>定制电源是指按照特定客户需求的性能规格要求、结构要求等专门设计和制造的电源。与模块电源相比，定制电源的设计和制作工艺多样，是根据客户所处应用领域的特殊要求而设计制造的定制产品，具有符合客户要求的非标准外观，可以通过模块电源组合、模块电源与其他元器件搭配、或者用分立元器件全新设计来实现客户的定制要求。</w:t>
      </w:r>
    </w:p>
    <w:p w:rsidR="00A2119D" w:rsidRPr="00277E5D" w:rsidRDefault="00A2119D" w:rsidP="00CB5CA2">
      <w:pPr>
        <w:pStyle w:val="a3"/>
        <w:spacing w:before="0" w:beforeAutospacing="0" w:after="0" w:afterAutospacing="0" w:line="360" w:lineRule="auto"/>
        <w:ind w:firstLine="560"/>
        <w:jc w:val="both"/>
        <w:divId w:val="626005873"/>
        <w:rPr>
          <w:rFonts w:cs="Calibri"/>
          <w:sz w:val="21"/>
          <w:szCs w:val="21"/>
        </w:rPr>
      </w:pPr>
      <w:r w:rsidRPr="00277E5D">
        <w:rPr>
          <w:rFonts w:cs="Calibri" w:hint="eastAsia"/>
          <w:sz w:val="21"/>
          <w:szCs w:val="21"/>
        </w:rPr>
        <w:t>（2）四川甘华目前致力于</w:t>
      </w:r>
      <w:r w:rsidR="00507353" w:rsidRPr="00277E5D">
        <w:rPr>
          <w:rFonts w:cs="Calibri" w:hint="eastAsia"/>
          <w:sz w:val="21"/>
          <w:szCs w:val="21"/>
        </w:rPr>
        <w:t>民用航空</w:t>
      </w:r>
      <w:r w:rsidRPr="00277E5D">
        <w:rPr>
          <w:rFonts w:cs="Calibri" w:hint="eastAsia"/>
          <w:sz w:val="21"/>
          <w:szCs w:val="21"/>
        </w:rPr>
        <w:t xml:space="preserve">电源相关产品及前瞻电源技术的研发、推广及应用。 </w:t>
      </w:r>
    </w:p>
    <w:p w:rsidR="00A2119D" w:rsidRPr="00277E5D" w:rsidRDefault="00A2119D" w:rsidP="00CB5CA2">
      <w:pPr>
        <w:pStyle w:val="a3"/>
        <w:shd w:val="clear" w:color="auto" w:fill="FFFFFF"/>
        <w:spacing w:before="0" w:beforeAutospacing="0" w:after="0" w:afterAutospacing="0" w:line="360" w:lineRule="auto"/>
        <w:ind w:firstLine="562"/>
        <w:jc w:val="both"/>
        <w:divId w:val="626005873"/>
        <w:rPr>
          <w:sz w:val="21"/>
          <w:szCs w:val="21"/>
        </w:rPr>
      </w:pPr>
      <w:r w:rsidRPr="00277E5D">
        <w:rPr>
          <w:rStyle w:val="a4"/>
          <w:rFonts w:hint="eastAsia"/>
          <w:sz w:val="21"/>
          <w:szCs w:val="21"/>
        </w:rPr>
        <w:t>2、高性能特种合金材料制品业务</w:t>
      </w:r>
    </w:p>
    <w:p w:rsidR="00A2119D" w:rsidRPr="00277E5D" w:rsidRDefault="00A2119D" w:rsidP="00CB5CA2">
      <w:pPr>
        <w:pStyle w:val="a3"/>
        <w:shd w:val="clear" w:color="auto" w:fill="FFFFFF"/>
        <w:spacing w:before="0" w:beforeAutospacing="0" w:after="0" w:afterAutospacing="0" w:line="360" w:lineRule="auto"/>
        <w:ind w:firstLine="560"/>
        <w:jc w:val="both"/>
        <w:divId w:val="626005873"/>
        <w:rPr>
          <w:sz w:val="21"/>
          <w:szCs w:val="21"/>
        </w:rPr>
      </w:pPr>
      <w:r w:rsidRPr="00277E5D">
        <w:rPr>
          <w:rFonts w:hint="eastAsia"/>
          <w:sz w:val="21"/>
          <w:szCs w:val="21"/>
        </w:rPr>
        <w:t>公司高性能特种合金材料制品业务由控股子公司沈阳含能和沈阳非晶承担。</w:t>
      </w:r>
    </w:p>
    <w:p w:rsidR="00A2119D" w:rsidRPr="00277E5D" w:rsidRDefault="00A2119D" w:rsidP="00CB5CA2">
      <w:pPr>
        <w:pStyle w:val="a3"/>
        <w:shd w:val="clear" w:color="auto" w:fill="FFFFFF"/>
        <w:spacing w:before="0" w:beforeAutospacing="0" w:after="0" w:afterAutospacing="0" w:line="360" w:lineRule="auto"/>
        <w:ind w:firstLine="560"/>
        <w:jc w:val="both"/>
        <w:divId w:val="626005873"/>
        <w:rPr>
          <w:sz w:val="21"/>
          <w:szCs w:val="21"/>
        </w:rPr>
      </w:pPr>
      <w:r w:rsidRPr="00277E5D">
        <w:rPr>
          <w:rFonts w:hint="eastAsia"/>
          <w:sz w:val="21"/>
          <w:szCs w:val="21"/>
        </w:rPr>
        <w:t>沈阳含</w:t>
      </w:r>
      <w:proofErr w:type="gramStart"/>
      <w:r w:rsidRPr="00277E5D">
        <w:rPr>
          <w:rFonts w:hint="eastAsia"/>
          <w:sz w:val="21"/>
          <w:szCs w:val="21"/>
        </w:rPr>
        <w:t>能主要</w:t>
      </w:r>
      <w:proofErr w:type="gramEnd"/>
      <w:r w:rsidR="001A0240" w:rsidRPr="00277E5D">
        <w:rPr>
          <w:rFonts w:hint="eastAsia"/>
          <w:sz w:val="21"/>
          <w:szCs w:val="21"/>
        </w:rPr>
        <w:t>通过承接军工总体单位及军工科研院所科研项目，</w:t>
      </w:r>
      <w:r w:rsidR="00507353" w:rsidRPr="00277E5D">
        <w:rPr>
          <w:rFonts w:hint="eastAsia"/>
          <w:sz w:val="21"/>
          <w:szCs w:val="21"/>
        </w:rPr>
        <w:t>加工</w:t>
      </w:r>
      <w:r w:rsidRPr="00277E5D">
        <w:rPr>
          <w:rFonts w:hint="eastAsia"/>
          <w:sz w:val="21"/>
          <w:szCs w:val="21"/>
        </w:rPr>
        <w:t>各类军品零部件</w:t>
      </w:r>
      <w:r w:rsidRPr="000C1FE6">
        <w:rPr>
          <w:rFonts w:hint="eastAsia"/>
          <w:color w:val="000000" w:themeColor="text1"/>
          <w:sz w:val="21"/>
          <w:szCs w:val="21"/>
        </w:rPr>
        <w:t>及</w:t>
      </w:r>
      <w:r w:rsidR="00507353" w:rsidRPr="000C1FE6">
        <w:rPr>
          <w:rFonts w:hint="eastAsia"/>
          <w:color w:val="000000" w:themeColor="text1"/>
          <w:sz w:val="21"/>
          <w:szCs w:val="21"/>
        </w:rPr>
        <w:t>生产民品</w:t>
      </w:r>
      <w:r w:rsidRPr="000C1FE6">
        <w:rPr>
          <w:rFonts w:hint="eastAsia"/>
          <w:color w:val="000000" w:themeColor="text1"/>
          <w:sz w:val="21"/>
          <w:szCs w:val="21"/>
        </w:rPr>
        <w:t>。</w:t>
      </w:r>
      <w:r w:rsidRPr="00277E5D">
        <w:rPr>
          <w:rFonts w:hint="eastAsia"/>
          <w:sz w:val="21"/>
          <w:szCs w:val="21"/>
        </w:rPr>
        <w:t>主要产品中：</w:t>
      </w:r>
      <w:r w:rsidR="001A0240" w:rsidRPr="00277E5D">
        <w:rPr>
          <w:rFonts w:hint="eastAsia"/>
          <w:sz w:val="21"/>
          <w:szCs w:val="21"/>
        </w:rPr>
        <w:t>钨</w:t>
      </w:r>
      <w:r w:rsidRPr="00277E5D">
        <w:rPr>
          <w:rFonts w:hint="eastAsia"/>
          <w:sz w:val="21"/>
          <w:szCs w:val="21"/>
        </w:rPr>
        <w:t>球、</w:t>
      </w:r>
      <w:r w:rsidR="001A0240" w:rsidRPr="00277E5D">
        <w:rPr>
          <w:rFonts w:hint="eastAsia"/>
          <w:sz w:val="21"/>
          <w:szCs w:val="21"/>
        </w:rPr>
        <w:t>钨</w:t>
      </w:r>
      <w:r w:rsidRPr="00277E5D">
        <w:rPr>
          <w:rFonts w:hint="eastAsia"/>
          <w:sz w:val="21"/>
          <w:szCs w:val="21"/>
        </w:rPr>
        <w:t>环、</w:t>
      </w:r>
      <w:proofErr w:type="gramStart"/>
      <w:r w:rsidR="001A0240" w:rsidRPr="00277E5D">
        <w:rPr>
          <w:rFonts w:hint="eastAsia"/>
          <w:sz w:val="21"/>
          <w:szCs w:val="21"/>
        </w:rPr>
        <w:t>钨</w:t>
      </w:r>
      <w:r w:rsidRPr="00277E5D">
        <w:rPr>
          <w:rFonts w:hint="eastAsia"/>
          <w:sz w:val="21"/>
          <w:szCs w:val="21"/>
        </w:rPr>
        <w:t>柱类</w:t>
      </w:r>
      <w:proofErr w:type="gramEnd"/>
      <w:r w:rsidRPr="00277E5D">
        <w:rPr>
          <w:rFonts w:hint="eastAsia"/>
          <w:sz w:val="21"/>
          <w:szCs w:val="21"/>
        </w:rPr>
        <w:t>预制破片的特性为高密</w:t>
      </w:r>
      <w:r w:rsidR="001A0240" w:rsidRPr="00277E5D">
        <w:rPr>
          <w:rFonts w:hint="eastAsia"/>
          <w:sz w:val="21"/>
          <w:szCs w:val="21"/>
        </w:rPr>
        <w:t>度、抗拉强度大、弹性模量高、热膨胀系数低</w:t>
      </w:r>
      <w:r w:rsidRPr="00277E5D">
        <w:rPr>
          <w:rFonts w:hint="eastAsia"/>
          <w:sz w:val="21"/>
          <w:szCs w:val="21"/>
        </w:rPr>
        <w:t>等，主要用于弹用毁伤</w:t>
      </w:r>
      <w:r w:rsidR="001A0240" w:rsidRPr="00277E5D">
        <w:rPr>
          <w:rFonts w:hint="eastAsia"/>
          <w:sz w:val="21"/>
          <w:szCs w:val="21"/>
        </w:rPr>
        <w:t>部</w:t>
      </w:r>
      <w:r w:rsidRPr="00277E5D">
        <w:rPr>
          <w:rFonts w:hint="eastAsia"/>
          <w:sz w:val="21"/>
          <w:szCs w:val="21"/>
        </w:rPr>
        <w:t>件，为海、陆、空、火箭、战略支援等多部队装备的炮弹、火箭弹及导弹产品进行配套，产品性能良好，获得军方认可，已与多家兵工厂建立了良好的合作关系，是部分常规炮弹及新型火箭弹预制破片的主</w:t>
      </w:r>
      <w:r w:rsidR="00507353" w:rsidRPr="00277E5D">
        <w:rPr>
          <w:rFonts w:hint="eastAsia"/>
          <w:sz w:val="21"/>
          <w:szCs w:val="21"/>
        </w:rPr>
        <w:t>要供应商。公司</w:t>
      </w:r>
      <w:r w:rsidRPr="00277E5D">
        <w:rPr>
          <w:rFonts w:hint="eastAsia"/>
          <w:sz w:val="21"/>
          <w:szCs w:val="21"/>
        </w:rPr>
        <w:t>民品</w:t>
      </w:r>
      <w:r w:rsidR="00507353" w:rsidRPr="00277E5D">
        <w:rPr>
          <w:rFonts w:hint="eastAsia"/>
          <w:sz w:val="21"/>
          <w:szCs w:val="21"/>
        </w:rPr>
        <w:t>主要</w:t>
      </w:r>
      <w:r w:rsidRPr="00277E5D">
        <w:rPr>
          <w:rFonts w:hint="eastAsia"/>
          <w:sz w:val="21"/>
          <w:szCs w:val="21"/>
        </w:rPr>
        <w:t>应用于体育行业。</w:t>
      </w:r>
    </w:p>
    <w:p w:rsidR="00A2119D" w:rsidRPr="00277E5D" w:rsidRDefault="00A2119D" w:rsidP="00CB5CA2">
      <w:pPr>
        <w:pStyle w:val="a3"/>
        <w:shd w:val="clear" w:color="auto" w:fill="FFFFFF"/>
        <w:spacing w:before="0" w:beforeAutospacing="0" w:after="0" w:afterAutospacing="0" w:line="360" w:lineRule="auto"/>
        <w:ind w:firstLine="560"/>
        <w:jc w:val="both"/>
        <w:divId w:val="626005873"/>
        <w:rPr>
          <w:sz w:val="21"/>
          <w:szCs w:val="21"/>
        </w:rPr>
      </w:pPr>
      <w:r w:rsidRPr="00277E5D">
        <w:rPr>
          <w:rFonts w:hint="eastAsia"/>
          <w:sz w:val="21"/>
          <w:szCs w:val="21"/>
        </w:rPr>
        <w:t>沈阳非</w:t>
      </w:r>
      <w:proofErr w:type="gramStart"/>
      <w:r w:rsidRPr="00277E5D">
        <w:rPr>
          <w:rFonts w:hint="eastAsia"/>
          <w:sz w:val="21"/>
          <w:szCs w:val="21"/>
        </w:rPr>
        <w:t>晶主要</w:t>
      </w:r>
      <w:proofErr w:type="gramEnd"/>
      <w:r w:rsidRPr="00277E5D">
        <w:rPr>
          <w:rFonts w:hint="eastAsia"/>
          <w:sz w:val="21"/>
          <w:szCs w:val="21"/>
        </w:rPr>
        <w:t>从事非晶合金材料研发、制造、销售等业务，核心产品为非晶合金复合体</w:t>
      </w:r>
      <w:r w:rsidR="009173E5" w:rsidRPr="00277E5D">
        <w:rPr>
          <w:rFonts w:hint="eastAsia"/>
          <w:sz w:val="21"/>
          <w:szCs w:val="21"/>
        </w:rPr>
        <w:t>。非晶合金材料是一类</w:t>
      </w:r>
      <w:r w:rsidRPr="00277E5D">
        <w:rPr>
          <w:rFonts w:hint="eastAsia"/>
          <w:sz w:val="21"/>
          <w:szCs w:val="21"/>
        </w:rPr>
        <w:t>先进活性材料，具有高强度、高硬度的特点，在国防领域，对装备设计、打击能力具有颠覆性作用，产品主要应用于国防、航空航天、石油化工等领域。公司与国内重点装备配套企业、科研院所及高等院校深化战略合作，部分型号产品已突破原理验证和实现小批量制备技术，完成了装备的试验考核，并在多个研制任务中获得应用。</w:t>
      </w:r>
    </w:p>
    <w:p w:rsidR="00A27D66" w:rsidRPr="00277E5D" w:rsidRDefault="00A2119D" w:rsidP="00CB5CA2">
      <w:pPr>
        <w:pStyle w:val="2"/>
        <w:spacing w:before="300" w:after="300" w:line="320" w:lineRule="exact"/>
        <w:rPr>
          <w:rFonts w:ascii="宋体" w:eastAsia="宋体" w:hAnsi="宋体" w:cs="宋体"/>
          <w:b/>
          <w:bCs/>
          <w:sz w:val="24"/>
          <w:szCs w:val="24"/>
        </w:rPr>
      </w:pPr>
      <w:bookmarkStart w:id="16" w:name="_Toc988905"/>
      <w:r w:rsidRPr="00277E5D">
        <w:rPr>
          <w:rFonts w:ascii="宋体" w:eastAsia="宋体" w:hAnsi="宋体" w:cs="宋体"/>
          <w:b/>
          <w:bCs/>
          <w:sz w:val="24"/>
          <w:szCs w:val="24"/>
        </w:rPr>
        <w:t>三、核心竞争力分析</w:t>
      </w:r>
      <w:bookmarkEnd w:id="16"/>
    </w:p>
    <w:p w:rsidR="00A2119D" w:rsidRPr="00277E5D" w:rsidRDefault="00A2119D" w:rsidP="00CB5CA2">
      <w:pPr>
        <w:pStyle w:val="a3"/>
        <w:shd w:val="clear" w:color="auto" w:fill="FFFFFF"/>
        <w:spacing w:before="0" w:beforeAutospacing="0" w:after="0" w:afterAutospacing="0" w:line="360" w:lineRule="auto"/>
        <w:ind w:firstLine="561"/>
        <w:jc w:val="both"/>
        <w:divId w:val="1211570057"/>
        <w:rPr>
          <w:sz w:val="21"/>
          <w:szCs w:val="21"/>
        </w:rPr>
      </w:pPr>
      <w:r w:rsidRPr="00277E5D">
        <w:rPr>
          <w:rFonts w:hint="eastAsia"/>
          <w:sz w:val="21"/>
          <w:szCs w:val="21"/>
        </w:rPr>
        <w:t>报告期内，公司主营业务为电源及相关产品、高性能特种合金材料制品的研发、生产、销售。公司承担军品业务的子公司分别为升华电源、沈阳含能和沈阳非晶。报告期内，公司核心竞争力未发生重大变化。</w:t>
      </w:r>
    </w:p>
    <w:p w:rsidR="00A2119D" w:rsidRDefault="00A2119D" w:rsidP="00CB5CA2">
      <w:pPr>
        <w:pStyle w:val="a3"/>
        <w:shd w:val="clear" w:color="auto" w:fill="FFFFFF"/>
        <w:spacing w:before="0" w:beforeAutospacing="0" w:after="0" w:afterAutospacing="0" w:line="360" w:lineRule="auto"/>
        <w:ind w:firstLine="561"/>
        <w:jc w:val="both"/>
        <w:divId w:val="1211570057"/>
        <w:rPr>
          <w:sz w:val="21"/>
          <w:szCs w:val="21"/>
        </w:rPr>
      </w:pPr>
      <w:r w:rsidRPr="00277E5D">
        <w:rPr>
          <w:rFonts w:hint="eastAsia"/>
          <w:sz w:val="21"/>
          <w:szCs w:val="21"/>
        </w:rPr>
        <w:t>1、升华电源是国家级高新技术企业，四川省企业技术中心。经过多年的技术和经验积累，拥有一批理论水平高、实践能力强的技术工程师，在电源领域形成了国内一流的研发能力，制定了相关行业的电源产品技术规范，建立了符合国际标准的产品研发验证体系，具有完全自主知识产权的电源设计和工艺技术平台。产品的技术指标达到或超越了国际一流企业同类产品水平</w:t>
      </w:r>
      <w:r w:rsidR="003A20E7" w:rsidRPr="00277E5D">
        <w:rPr>
          <w:rFonts w:hint="eastAsia"/>
          <w:sz w:val="21"/>
          <w:szCs w:val="21"/>
        </w:rPr>
        <w:t>。公司电源产品已实现全系列百</w:t>
      </w:r>
      <w:r w:rsidR="003A20E7" w:rsidRPr="00277E5D">
        <w:rPr>
          <w:rFonts w:hint="eastAsia"/>
          <w:sz w:val="21"/>
          <w:szCs w:val="21"/>
        </w:rPr>
        <w:lastRenderedPageBreak/>
        <w:t>分百国产化</w:t>
      </w:r>
      <w:r w:rsidRPr="00277E5D">
        <w:rPr>
          <w:rFonts w:hint="eastAsia"/>
          <w:sz w:val="21"/>
          <w:szCs w:val="21"/>
        </w:rPr>
        <w:t>。</w:t>
      </w:r>
      <w:r w:rsidR="002862CD" w:rsidRPr="002862CD">
        <w:rPr>
          <w:rFonts w:hint="eastAsia"/>
          <w:sz w:val="21"/>
          <w:szCs w:val="21"/>
        </w:rPr>
        <w:t>其中高压电源模块</w:t>
      </w:r>
      <w:r w:rsidR="00543E13">
        <w:rPr>
          <w:rFonts w:hint="eastAsia"/>
          <w:sz w:val="21"/>
          <w:szCs w:val="21"/>
        </w:rPr>
        <w:t>基本</w:t>
      </w:r>
      <w:r w:rsidR="002862CD">
        <w:rPr>
          <w:rFonts w:hint="eastAsia"/>
          <w:sz w:val="21"/>
          <w:szCs w:val="21"/>
        </w:rPr>
        <w:t>解决了</w:t>
      </w:r>
      <w:r w:rsidR="00CE1E42" w:rsidRPr="002862CD">
        <w:rPr>
          <w:rFonts w:hint="eastAsia"/>
          <w:sz w:val="21"/>
          <w:szCs w:val="21"/>
        </w:rPr>
        <w:t>装备配套的小型化，轻量化难题，</w:t>
      </w:r>
      <w:r w:rsidR="00521F10" w:rsidRPr="002862CD">
        <w:rPr>
          <w:rFonts w:hint="eastAsia"/>
          <w:sz w:val="21"/>
          <w:szCs w:val="21"/>
        </w:rPr>
        <w:t>产品性能稳定，应用场景广泛。</w:t>
      </w:r>
      <w:r w:rsidR="003A20E7" w:rsidRPr="00277E5D">
        <w:rPr>
          <w:rFonts w:hint="eastAsia"/>
          <w:sz w:val="21"/>
          <w:szCs w:val="21"/>
        </w:rPr>
        <w:t>公司</w:t>
      </w:r>
      <w:r w:rsidRPr="00277E5D">
        <w:rPr>
          <w:rFonts w:hint="eastAsia"/>
          <w:sz w:val="21"/>
          <w:szCs w:val="21"/>
        </w:rPr>
        <w:t>建立有高水准的质量管理体系，产品质量稳定可靠，依靠优秀的产品、过硬的质量和优质的服务，在行业内具有一定知名度，拥有国内多家军工企业、军工科研院所、军工厂等优质客户，产品配套国内主战型号装备。</w:t>
      </w:r>
    </w:p>
    <w:p w:rsidR="00A2119D" w:rsidRPr="00277E5D" w:rsidRDefault="00A2119D" w:rsidP="00CB5CA2">
      <w:pPr>
        <w:pStyle w:val="a3"/>
        <w:shd w:val="clear" w:color="auto" w:fill="FFFFFF"/>
        <w:spacing w:before="0" w:beforeAutospacing="0" w:after="0" w:afterAutospacing="0" w:line="360" w:lineRule="auto"/>
        <w:ind w:firstLine="561"/>
        <w:jc w:val="both"/>
        <w:divId w:val="1211570057"/>
        <w:rPr>
          <w:sz w:val="21"/>
          <w:szCs w:val="21"/>
        </w:rPr>
      </w:pPr>
      <w:r w:rsidRPr="00277E5D">
        <w:rPr>
          <w:rFonts w:hint="eastAsia"/>
          <w:sz w:val="21"/>
          <w:szCs w:val="21"/>
        </w:rPr>
        <w:t>2、沈阳含能是</w:t>
      </w:r>
      <w:r w:rsidR="003A20E7" w:rsidRPr="00277E5D">
        <w:rPr>
          <w:rFonts w:hint="eastAsia"/>
          <w:sz w:val="21"/>
          <w:szCs w:val="21"/>
        </w:rPr>
        <w:t>国家</w:t>
      </w:r>
      <w:r w:rsidRPr="00277E5D">
        <w:rPr>
          <w:rFonts w:hint="eastAsia"/>
          <w:sz w:val="21"/>
          <w:szCs w:val="21"/>
        </w:rPr>
        <w:t>高新技术企业、瞪</w:t>
      </w:r>
      <w:proofErr w:type="gramStart"/>
      <w:r w:rsidRPr="00277E5D">
        <w:rPr>
          <w:rFonts w:hint="eastAsia"/>
          <w:sz w:val="21"/>
          <w:szCs w:val="21"/>
        </w:rPr>
        <w:t>羚</w:t>
      </w:r>
      <w:proofErr w:type="gramEnd"/>
      <w:r w:rsidRPr="00277E5D">
        <w:rPr>
          <w:rFonts w:hint="eastAsia"/>
          <w:sz w:val="21"/>
          <w:szCs w:val="21"/>
        </w:rPr>
        <w:t>企业、科技小巨人企业、专精特新小巨人企业，</w:t>
      </w:r>
      <w:proofErr w:type="gramStart"/>
      <w:r w:rsidRPr="00277E5D">
        <w:rPr>
          <w:rFonts w:hint="eastAsia"/>
          <w:sz w:val="21"/>
          <w:szCs w:val="21"/>
        </w:rPr>
        <w:t>国内弹</w:t>
      </w:r>
      <w:proofErr w:type="gramEnd"/>
      <w:r w:rsidRPr="00277E5D">
        <w:rPr>
          <w:rFonts w:hint="eastAsia"/>
          <w:sz w:val="21"/>
          <w:szCs w:val="21"/>
        </w:rPr>
        <w:t>用预制破片重要供应商。近年来，通过引进先进生产技术和研究成果，推动新材料、新工艺、新产品的开发与应用，掌握了预制破片生产中的关键核心技术，保证了公司的产品质量和工艺水平的领先，在钨合金预制破片领域具有相对稳定的竞争优势。</w:t>
      </w:r>
    </w:p>
    <w:p w:rsidR="00A2119D" w:rsidRPr="00277E5D" w:rsidRDefault="00A2119D" w:rsidP="00CB5CA2">
      <w:pPr>
        <w:pStyle w:val="a3"/>
        <w:shd w:val="clear" w:color="auto" w:fill="FFFFFF"/>
        <w:spacing w:before="0" w:beforeAutospacing="0" w:after="0" w:afterAutospacing="0" w:line="360" w:lineRule="auto"/>
        <w:ind w:firstLine="561"/>
        <w:jc w:val="both"/>
        <w:divId w:val="1211570057"/>
        <w:rPr>
          <w:sz w:val="21"/>
          <w:szCs w:val="21"/>
        </w:rPr>
      </w:pPr>
      <w:r w:rsidRPr="00277E5D">
        <w:rPr>
          <w:rFonts w:hint="eastAsia"/>
          <w:sz w:val="21"/>
          <w:szCs w:val="21"/>
        </w:rPr>
        <w:t>3、沈阳非晶是国家高新技术企业、专精特新中小企业、瞪</w:t>
      </w:r>
      <w:proofErr w:type="gramStart"/>
      <w:r w:rsidRPr="00277E5D">
        <w:rPr>
          <w:rFonts w:hint="eastAsia"/>
          <w:sz w:val="21"/>
          <w:szCs w:val="21"/>
        </w:rPr>
        <w:t>羚</w:t>
      </w:r>
      <w:proofErr w:type="gramEnd"/>
      <w:r w:rsidRPr="00277E5D">
        <w:rPr>
          <w:rFonts w:hint="eastAsia"/>
          <w:sz w:val="21"/>
          <w:szCs w:val="21"/>
        </w:rPr>
        <w:t>企业、科技型中小企业、创新型企业。</w:t>
      </w:r>
      <w:r w:rsidR="003A20E7" w:rsidRPr="00277E5D">
        <w:rPr>
          <w:rFonts w:hint="eastAsia"/>
          <w:sz w:val="21"/>
          <w:szCs w:val="21"/>
        </w:rPr>
        <w:t>沈阳非</w:t>
      </w:r>
      <w:proofErr w:type="gramStart"/>
      <w:r w:rsidR="003A20E7" w:rsidRPr="00277E5D">
        <w:rPr>
          <w:rFonts w:hint="eastAsia"/>
          <w:sz w:val="21"/>
          <w:szCs w:val="21"/>
        </w:rPr>
        <w:t>晶</w:t>
      </w:r>
      <w:r w:rsidRPr="00277E5D">
        <w:rPr>
          <w:rFonts w:hint="eastAsia"/>
          <w:sz w:val="21"/>
          <w:szCs w:val="21"/>
        </w:rPr>
        <w:t>目前</w:t>
      </w:r>
      <w:proofErr w:type="gramEnd"/>
      <w:r w:rsidRPr="00277E5D">
        <w:rPr>
          <w:rFonts w:hint="eastAsia"/>
          <w:sz w:val="21"/>
          <w:szCs w:val="21"/>
        </w:rPr>
        <w:t>处于成长期，沈阳非晶将非晶合金材料作为多功能含能金属材料使用的技术为国内领先，通过与国内重点军工企业、科研院所及高等院校深化战略合作，将非晶合金先进核心技术实现产业化转化，部分材料已在装备配套中应用，并在试验过程中表现出优异的性能。</w:t>
      </w:r>
    </w:p>
    <w:p w:rsidR="00A2119D" w:rsidRPr="00277E5D" w:rsidRDefault="00A2119D" w:rsidP="00CB5CA2">
      <w:pPr>
        <w:pStyle w:val="a3"/>
        <w:shd w:val="clear" w:color="auto" w:fill="FFFFFF"/>
        <w:spacing w:before="0" w:beforeAutospacing="0" w:after="0" w:afterAutospacing="0" w:line="360" w:lineRule="auto"/>
        <w:ind w:firstLine="561"/>
        <w:jc w:val="both"/>
        <w:divId w:val="1211570057"/>
        <w:rPr>
          <w:sz w:val="21"/>
          <w:szCs w:val="21"/>
        </w:rPr>
      </w:pPr>
      <w:r w:rsidRPr="00277E5D">
        <w:rPr>
          <w:rFonts w:hint="eastAsia"/>
          <w:sz w:val="21"/>
          <w:szCs w:val="21"/>
        </w:rPr>
        <w:t>截至2024年末，公司3家主要子公司共拥有发明专利、实用新型专利及软件著作权等合计143项。升华电源、沈阳含能和沈阳</w:t>
      </w:r>
      <w:proofErr w:type="gramStart"/>
      <w:r w:rsidRPr="00277E5D">
        <w:rPr>
          <w:rFonts w:hint="eastAsia"/>
          <w:sz w:val="21"/>
          <w:szCs w:val="21"/>
        </w:rPr>
        <w:t>非晶均具备</w:t>
      </w:r>
      <w:proofErr w:type="gramEnd"/>
      <w:r w:rsidRPr="00277E5D">
        <w:rPr>
          <w:rFonts w:hint="eastAsia"/>
          <w:sz w:val="21"/>
          <w:szCs w:val="21"/>
        </w:rPr>
        <w:t>国家认证的从事军工产品研发和生产所需的各项资质证书，建立了完备的质量管理体系，与多所企业科研院所等相关单位深入合作，自主研发能力不断提升，升华电源、沈阳含能和沈阳非晶的产品已经在军工众多项目中应用，稳定可靠的产品品质获得了广泛的认可。未来公司将继续利用上市公司平台优势，把握机遇，整合资源，聚焦电源及相关产品、高性能特种合金材料制品为核心的重点产业，在资金、人员等资源配置方面倾斜，不断提升整体水平与竞争能力。</w:t>
      </w:r>
    </w:p>
    <w:p w:rsidR="00A27D66" w:rsidRPr="00277E5D" w:rsidRDefault="00A2119D" w:rsidP="00CB5CA2">
      <w:pPr>
        <w:pStyle w:val="2"/>
        <w:spacing w:before="300" w:after="300" w:line="320" w:lineRule="exact"/>
        <w:rPr>
          <w:rFonts w:ascii="宋体" w:eastAsia="宋体" w:hAnsi="宋体" w:cs="宋体"/>
          <w:b/>
          <w:bCs/>
          <w:sz w:val="24"/>
          <w:szCs w:val="24"/>
        </w:rPr>
      </w:pPr>
      <w:bookmarkStart w:id="17" w:name="_Toc988906"/>
      <w:r w:rsidRPr="00277E5D">
        <w:rPr>
          <w:rFonts w:ascii="宋体" w:eastAsia="宋体" w:hAnsi="宋体" w:cs="宋体"/>
          <w:b/>
          <w:bCs/>
          <w:sz w:val="24"/>
          <w:szCs w:val="24"/>
        </w:rPr>
        <w:t>四、主营业务分析</w:t>
      </w:r>
      <w:bookmarkEnd w:id="17"/>
    </w:p>
    <w:p w:rsidR="00A27D66" w:rsidRPr="00277E5D" w:rsidRDefault="00A2119D" w:rsidP="00CB5CA2">
      <w:pPr>
        <w:pStyle w:val="3"/>
        <w:spacing w:line="280" w:lineRule="exact"/>
        <w:jc w:val="left"/>
        <w:rPr>
          <w:rFonts w:ascii="宋体" w:hAnsi="宋体" w:cs="宋体"/>
          <w:b/>
          <w:bCs/>
        </w:rPr>
      </w:pPr>
      <w:bookmarkStart w:id="18" w:name="_Toc988907"/>
      <w:r w:rsidRPr="00277E5D">
        <w:rPr>
          <w:rFonts w:ascii="宋体" w:hAnsi="宋体" w:cs="宋体"/>
          <w:b/>
          <w:bCs/>
        </w:rPr>
        <w:t>1、概述</w:t>
      </w:r>
      <w:bookmarkEnd w:id="18"/>
    </w:p>
    <w:p w:rsidR="00A2119D" w:rsidRPr="00277E5D" w:rsidRDefault="00A2119D" w:rsidP="00CB5CA2">
      <w:pPr>
        <w:pStyle w:val="a3"/>
        <w:shd w:val="clear" w:color="auto" w:fill="FFFFFF"/>
        <w:spacing w:before="0" w:beforeAutospacing="0" w:after="0" w:afterAutospacing="0" w:line="360" w:lineRule="auto"/>
        <w:ind w:firstLine="561"/>
        <w:jc w:val="both"/>
        <w:divId w:val="18626773"/>
        <w:rPr>
          <w:sz w:val="21"/>
          <w:szCs w:val="21"/>
        </w:rPr>
      </w:pPr>
      <w:r w:rsidRPr="00277E5D">
        <w:rPr>
          <w:rFonts w:hint="eastAsia"/>
          <w:sz w:val="21"/>
          <w:szCs w:val="21"/>
        </w:rPr>
        <w:t>2024</w:t>
      </w:r>
      <w:r w:rsidR="0060325C" w:rsidRPr="00277E5D">
        <w:rPr>
          <w:rFonts w:hint="eastAsia"/>
          <w:sz w:val="21"/>
          <w:szCs w:val="21"/>
        </w:rPr>
        <w:t>年，世界局势动荡加剧，经济形势错综复杂，</w:t>
      </w:r>
      <w:r w:rsidRPr="00277E5D">
        <w:rPr>
          <w:rFonts w:hint="eastAsia"/>
          <w:sz w:val="21"/>
          <w:szCs w:val="21"/>
        </w:rPr>
        <w:t>军工</w:t>
      </w:r>
      <w:r w:rsidR="0060325C" w:rsidRPr="00277E5D">
        <w:rPr>
          <w:rFonts w:hint="eastAsia"/>
          <w:sz w:val="21"/>
          <w:szCs w:val="21"/>
        </w:rPr>
        <w:t>企业</w:t>
      </w:r>
      <w:r w:rsidRPr="00277E5D">
        <w:rPr>
          <w:rFonts w:hint="eastAsia"/>
          <w:sz w:val="21"/>
          <w:szCs w:val="21"/>
        </w:rPr>
        <w:t>更是面临艰巨的</w:t>
      </w:r>
      <w:r w:rsidR="00CA2F0A">
        <w:rPr>
          <w:rFonts w:hint="eastAsia"/>
          <w:sz w:val="21"/>
          <w:szCs w:val="21"/>
        </w:rPr>
        <w:t>挑战</w:t>
      </w:r>
      <w:r w:rsidRPr="00277E5D">
        <w:rPr>
          <w:rFonts w:hint="eastAsia"/>
          <w:sz w:val="21"/>
          <w:szCs w:val="21"/>
        </w:rPr>
        <w:t>，面对客户采购计划的延期、产品验收的推迟、货款结算滞后等不利因素，公司坚持以“市场开拓，技术创新，降本增效”为中心，积极贯彻落实公司董事会确定的经营方针，有序推进各项重点工作，努力提升公司竞争能力，取得了一定成效，保证了公司的稳定运行。</w:t>
      </w:r>
    </w:p>
    <w:p w:rsidR="00A2119D" w:rsidRPr="00277E5D" w:rsidRDefault="00A2119D" w:rsidP="00CB5CA2">
      <w:pPr>
        <w:pStyle w:val="a3"/>
        <w:shd w:val="clear" w:color="auto" w:fill="FFFFFF"/>
        <w:spacing w:before="0" w:beforeAutospacing="0" w:after="0" w:afterAutospacing="0" w:line="360" w:lineRule="auto"/>
        <w:ind w:firstLine="561"/>
        <w:jc w:val="both"/>
        <w:divId w:val="18626773"/>
        <w:rPr>
          <w:sz w:val="21"/>
          <w:szCs w:val="21"/>
        </w:rPr>
      </w:pPr>
      <w:r w:rsidRPr="00277E5D">
        <w:rPr>
          <w:rFonts w:hint="eastAsia"/>
          <w:b/>
          <w:bCs/>
          <w:sz w:val="21"/>
          <w:szCs w:val="21"/>
        </w:rPr>
        <w:t>（1）总体经营情况</w:t>
      </w:r>
    </w:p>
    <w:p w:rsidR="000C1FE6" w:rsidRPr="00444118" w:rsidRDefault="000C1FE6" w:rsidP="000C1FE6">
      <w:pPr>
        <w:pStyle w:val="a3"/>
        <w:shd w:val="clear" w:color="auto" w:fill="FFFFFF"/>
        <w:spacing w:before="0" w:beforeAutospacing="0" w:after="0" w:afterAutospacing="0" w:line="360" w:lineRule="auto"/>
        <w:ind w:firstLine="561"/>
        <w:divId w:val="18626773"/>
        <w:rPr>
          <w:sz w:val="21"/>
          <w:szCs w:val="21"/>
        </w:rPr>
      </w:pPr>
      <w:bookmarkStart w:id="19" w:name="_Hlk194952410"/>
      <w:r w:rsidRPr="00570B59">
        <w:rPr>
          <w:rFonts w:hint="eastAsia"/>
          <w:sz w:val="21"/>
          <w:szCs w:val="21"/>
        </w:rPr>
        <w:t>2024年度公司共完成营业收入3.</w:t>
      </w:r>
      <w:r w:rsidRPr="00570B59">
        <w:rPr>
          <w:sz w:val="21"/>
          <w:szCs w:val="21"/>
        </w:rPr>
        <w:t>96</w:t>
      </w:r>
      <w:r w:rsidRPr="00570B59">
        <w:rPr>
          <w:rFonts w:hint="eastAsia"/>
          <w:sz w:val="21"/>
          <w:szCs w:val="21"/>
        </w:rPr>
        <w:t>亿元，同比增长2</w:t>
      </w:r>
      <w:r w:rsidRPr="00570B59">
        <w:rPr>
          <w:sz w:val="21"/>
          <w:szCs w:val="21"/>
        </w:rPr>
        <w:t>2.58%</w:t>
      </w:r>
      <w:r w:rsidRPr="00570B59">
        <w:rPr>
          <w:rFonts w:hint="eastAsia"/>
          <w:sz w:val="21"/>
          <w:szCs w:val="21"/>
        </w:rPr>
        <w:t>；实现归属于上市公司股东的净利润</w:t>
      </w:r>
      <w:r w:rsidRPr="00570B59">
        <w:rPr>
          <w:sz w:val="21"/>
          <w:szCs w:val="21"/>
        </w:rPr>
        <w:t>2,</w:t>
      </w:r>
      <w:r>
        <w:rPr>
          <w:sz w:val="21"/>
          <w:szCs w:val="21"/>
        </w:rPr>
        <w:t>051</w:t>
      </w:r>
      <w:r w:rsidRPr="00570B59">
        <w:rPr>
          <w:sz w:val="21"/>
          <w:szCs w:val="21"/>
        </w:rPr>
        <w:t>.</w:t>
      </w:r>
      <w:r>
        <w:rPr>
          <w:sz w:val="21"/>
          <w:szCs w:val="21"/>
        </w:rPr>
        <w:t>46</w:t>
      </w:r>
      <w:r w:rsidRPr="00570B59">
        <w:rPr>
          <w:rFonts w:hint="eastAsia"/>
          <w:sz w:val="21"/>
          <w:szCs w:val="21"/>
        </w:rPr>
        <w:t>万元，同比增长1</w:t>
      </w:r>
      <w:r w:rsidRPr="00570B59">
        <w:rPr>
          <w:sz w:val="21"/>
          <w:szCs w:val="21"/>
        </w:rPr>
        <w:t>08.</w:t>
      </w:r>
      <w:r>
        <w:rPr>
          <w:sz w:val="21"/>
          <w:szCs w:val="21"/>
        </w:rPr>
        <w:t>80</w:t>
      </w:r>
      <w:r w:rsidRPr="00570B59">
        <w:rPr>
          <w:sz w:val="21"/>
          <w:szCs w:val="21"/>
        </w:rPr>
        <w:t>%</w:t>
      </w:r>
      <w:r w:rsidRPr="00570B59">
        <w:rPr>
          <w:rFonts w:hint="eastAsia"/>
          <w:sz w:val="21"/>
          <w:szCs w:val="21"/>
        </w:rPr>
        <w:t>，实现扭亏为盈。截至2024年12月31日，公司总资产18.</w:t>
      </w:r>
      <w:r w:rsidRPr="00570B59">
        <w:rPr>
          <w:sz w:val="21"/>
          <w:szCs w:val="21"/>
        </w:rPr>
        <w:t>44</w:t>
      </w:r>
      <w:r w:rsidRPr="00570B59">
        <w:rPr>
          <w:rFonts w:hint="eastAsia"/>
          <w:sz w:val="21"/>
          <w:szCs w:val="21"/>
        </w:rPr>
        <w:t>亿元，归属于上市公司股东的净资产16.1</w:t>
      </w:r>
      <w:r w:rsidRPr="00570B59">
        <w:rPr>
          <w:sz w:val="21"/>
          <w:szCs w:val="21"/>
        </w:rPr>
        <w:t>2</w:t>
      </w:r>
      <w:r w:rsidRPr="00570B59">
        <w:rPr>
          <w:rFonts w:hint="eastAsia"/>
          <w:sz w:val="21"/>
          <w:szCs w:val="21"/>
        </w:rPr>
        <w:t>亿元。</w:t>
      </w:r>
      <w:bookmarkEnd w:id="19"/>
    </w:p>
    <w:p w:rsidR="00A2119D" w:rsidRPr="00277E5D" w:rsidRDefault="00A2119D" w:rsidP="00CB5CA2">
      <w:pPr>
        <w:pStyle w:val="a3"/>
        <w:shd w:val="clear" w:color="auto" w:fill="FFFFFF"/>
        <w:spacing w:before="0" w:beforeAutospacing="0" w:after="0" w:afterAutospacing="0" w:line="360" w:lineRule="auto"/>
        <w:ind w:firstLine="561"/>
        <w:jc w:val="both"/>
        <w:divId w:val="18626773"/>
        <w:rPr>
          <w:sz w:val="21"/>
          <w:szCs w:val="21"/>
        </w:rPr>
      </w:pPr>
      <w:r w:rsidRPr="00277E5D">
        <w:rPr>
          <w:rFonts w:hint="eastAsia"/>
          <w:b/>
          <w:bCs/>
          <w:sz w:val="21"/>
          <w:szCs w:val="21"/>
        </w:rPr>
        <w:lastRenderedPageBreak/>
        <w:t>（2）主要工作进展</w:t>
      </w:r>
    </w:p>
    <w:p w:rsidR="00A2119D" w:rsidRPr="00277E5D" w:rsidRDefault="00A2119D" w:rsidP="00CB5CA2">
      <w:pPr>
        <w:pStyle w:val="a3"/>
        <w:shd w:val="clear" w:color="auto" w:fill="FFFFFF"/>
        <w:spacing w:before="0" w:beforeAutospacing="0" w:after="0" w:afterAutospacing="0" w:line="360" w:lineRule="auto"/>
        <w:ind w:firstLine="561"/>
        <w:jc w:val="both"/>
        <w:divId w:val="18626773"/>
        <w:rPr>
          <w:sz w:val="21"/>
          <w:szCs w:val="21"/>
        </w:rPr>
      </w:pPr>
      <w:r w:rsidRPr="00277E5D">
        <w:rPr>
          <w:rFonts w:hint="eastAsia"/>
          <w:b/>
          <w:bCs/>
          <w:sz w:val="21"/>
          <w:szCs w:val="21"/>
        </w:rPr>
        <w:t>①持续攻坚克难、应对市场变化</w:t>
      </w:r>
    </w:p>
    <w:p w:rsidR="00A2119D" w:rsidRPr="00277E5D" w:rsidRDefault="00A2119D" w:rsidP="00CB5CA2">
      <w:pPr>
        <w:pStyle w:val="a3"/>
        <w:shd w:val="clear" w:color="auto" w:fill="FFFFFF"/>
        <w:spacing w:before="0" w:beforeAutospacing="0" w:after="0" w:afterAutospacing="0" w:line="360" w:lineRule="auto"/>
        <w:ind w:firstLine="561"/>
        <w:jc w:val="both"/>
        <w:divId w:val="18626773"/>
        <w:rPr>
          <w:sz w:val="21"/>
          <w:szCs w:val="21"/>
        </w:rPr>
      </w:pPr>
      <w:r w:rsidRPr="00277E5D">
        <w:rPr>
          <w:rFonts w:hint="eastAsia"/>
          <w:sz w:val="21"/>
          <w:szCs w:val="21"/>
        </w:rPr>
        <w:t>升华电源继续加强</w:t>
      </w:r>
      <w:r w:rsidR="00D55DCF" w:rsidRPr="00277E5D">
        <w:rPr>
          <w:rFonts w:hint="eastAsia"/>
          <w:sz w:val="21"/>
          <w:szCs w:val="21"/>
        </w:rPr>
        <w:t>研发组织建设，同时加大市场拓展力度，实现了新客户、新产品的增长</w:t>
      </w:r>
      <w:r w:rsidRPr="00277E5D">
        <w:rPr>
          <w:rFonts w:hint="eastAsia"/>
          <w:sz w:val="21"/>
          <w:szCs w:val="21"/>
        </w:rPr>
        <w:t>，为持续稳定发展奠定了基础。沈阳含能通过深入拓展市场，</w:t>
      </w:r>
      <w:r w:rsidR="00D55DCF" w:rsidRPr="00277E5D">
        <w:rPr>
          <w:rFonts w:hint="eastAsia"/>
          <w:sz w:val="21"/>
          <w:szCs w:val="21"/>
        </w:rPr>
        <w:t>改善客户及产品结构，产品产量创历史新高，</w:t>
      </w:r>
      <w:r w:rsidRPr="00277E5D">
        <w:rPr>
          <w:rFonts w:hint="eastAsia"/>
          <w:sz w:val="21"/>
          <w:szCs w:val="21"/>
        </w:rPr>
        <w:t>民品收入也获得提升；</w:t>
      </w:r>
      <w:r w:rsidR="00D55DCF" w:rsidRPr="00277E5D">
        <w:rPr>
          <w:rFonts w:hint="eastAsia"/>
          <w:sz w:val="21"/>
          <w:szCs w:val="21"/>
        </w:rPr>
        <w:t>同时</w:t>
      </w:r>
      <w:r w:rsidRPr="00277E5D">
        <w:rPr>
          <w:rFonts w:hint="eastAsia"/>
          <w:sz w:val="21"/>
          <w:szCs w:val="21"/>
        </w:rPr>
        <w:t>还通过加强内部管理，优化工艺改进产品，实现降本增效，化解原材料钨粉价格大幅上涨带来的不利影响。沈阳非晶稳步推进新项目的实施，配合总体单位完成竞标测试；同时积极推动</w:t>
      </w:r>
      <w:proofErr w:type="gramStart"/>
      <w:r w:rsidRPr="00277E5D">
        <w:rPr>
          <w:rFonts w:hint="eastAsia"/>
          <w:sz w:val="21"/>
          <w:szCs w:val="21"/>
        </w:rPr>
        <w:t>相关产线建设</w:t>
      </w:r>
      <w:proofErr w:type="gramEnd"/>
      <w:r w:rsidRPr="00277E5D">
        <w:rPr>
          <w:rFonts w:hint="eastAsia"/>
          <w:sz w:val="21"/>
          <w:szCs w:val="21"/>
        </w:rPr>
        <w:t>，为后续量</w:t>
      </w:r>
      <w:proofErr w:type="gramStart"/>
      <w:r w:rsidRPr="00277E5D">
        <w:rPr>
          <w:rFonts w:hint="eastAsia"/>
          <w:sz w:val="21"/>
          <w:szCs w:val="21"/>
        </w:rPr>
        <w:t>产做好</w:t>
      </w:r>
      <w:proofErr w:type="gramEnd"/>
      <w:r w:rsidRPr="00277E5D">
        <w:rPr>
          <w:rFonts w:hint="eastAsia"/>
          <w:sz w:val="21"/>
          <w:szCs w:val="21"/>
        </w:rPr>
        <w:t>准备。</w:t>
      </w:r>
    </w:p>
    <w:p w:rsidR="00A2119D" w:rsidRPr="00277E5D" w:rsidRDefault="00A2119D" w:rsidP="00CB5CA2">
      <w:pPr>
        <w:pStyle w:val="a3"/>
        <w:shd w:val="clear" w:color="auto" w:fill="FFFFFF"/>
        <w:spacing w:before="0" w:beforeAutospacing="0" w:after="0" w:afterAutospacing="0" w:line="360" w:lineRule="auto"/>
        <w:ind w:firstLine="561"/>
        <w:jc w:val="both"/>
        <w:divId w:val="18626773"/>
        <w:rPr>
          <w:sz w:val="21"/>
          <w:szCs w:val="21"/>
        </w:rPr>
      </w:pPr>
      <w:r w:rsidRPr="00277E5D">
        <w:rPr>
          <w:rFonts w:hint="eastAsia"/>
          <w:b/>
          <w:bCs/>
          <w:sz w:val="21"/>
          <w:szCs w:val="21"/>
        </w:rPr>
        <w:t>②注重技术研发、增强竞争能力</w:t>
      </w:r>
    </w:p>
    <w:p w:rsidR="00A2119D" w:rsidRPr="00277E5D" w:rsidRDefault="00A2119D" w:rsidP="00CB5CA2">
      <w:pPr>
        <w:pStyle w:val="a3"/>
        <w:shd w:val="clear" w:color="auto" w:fill="FFFFFF"/>
        <w:spacing w:before="0" w:beforeAutospacing="0" w:after="0" w:afterAutospacing="0" w:line="360" w:lineRule="auto"/>
        <w:ind w:firstLine="561"/>
        <w:jc w:val="both"/>
        <w:divId w:val="18626773"/>
        <w:rPr>
          <w:sz w:val="21"/>
          <w:szCs w:val="21"/>
        </w:rPr>
      </w:pPr>
      <w:r w:rsidRPr="00277E5D">
        <w:rPr>
          <w:rFonts w:hint="eastAsia"/>
          <w:sz w:val="21"/>
          <w:szCs w:val="21"/>
        </w:rPr>
        <w:t>科学技术是第一生产力，公司一贯重视技术研发，贴近市场需求和技术发展趋势开展前瞻式投入，2024年度研发投入</w:t>
      </w:r>
      <w:r w:rsidR="00063B3C" w:rsidRPr="00277E5D">
        <w:rPr>
          <w:sz w:val="21"/>
          <w:szCs w:val="21"/>
        </w:rPr>
        <w:t>9,508.25</w:t>
      </w:r>
      <w:r w:rsidR="00063B3C" w:rsidRPr="00277E5D">
        <w:rPr>
          <w:rFonts w:hint="eastAsia"/>
          <w:sz w:val="21"/>
          <w:szCs w:val="21"/>
        </w:rPr>
        <w:t>万元</w:t>
      </w:r>
      <w:r w:rsidRPr="00277E5D">
        <w:rPr>
          <w:rFonts w:hint="eastAsia"/>
          <w:sz w:val="21"/>
          <w:szCs w:val="21"/>
        </w:rPr>
        <w:t>，研发投入占营业收入的比重为</w:t>
      </w:r>
      <w:r w:rsidR="00063B3C" w:rsidRPr="00277E5D">
        <w:rPr>
          <w:sz w:val="21"/>
          <w:szCs w:val="21"/>
        </w:rPr>
        <w:t>23.99</w:t>
      </w:r>
      <w:r w:rsidRPr="00277E5D">
        <w:rPr>
          <w:rFonts w:hint="eastAsia"/>
          <w:sz w:val="21"/>
          <w:szCs w:val="21"/>
        </w:rPr>
        <w:t>%。升华电源成功交付多个研发项目，逐步推进系列化完善及小规模试产工作，贴片已实现完全自主且合格率得到提升。沈阳含能充分利用与原有大客户的友好合作关系及信息优势，及时了解客户需求，加强自</w:t>
      </w:r>
      <w:proofErr w:type="gramStart"/>
      <w:r w:rsidRPr="00277E5D">
        <w:rPr>
          <w:rFonts w:hint="eastAsia"/>
          <w:sz w:val="21"/>
          <w:szCs w:val="21"/>
        </w:rPr>
        <w:t>研</w:t>
      </w:r>
      <w:proofErr w:type="gramEnd"/>
      <w:r w:rsidRPr="00277E5D">
        <w:rPr>
          <w:rFonts w:hint="eastAsia"/>
          <w:sz w:val="21"/>
          <w:szCs w:val="21"/>
        </w:rPr>
        <w:t>及合作研发力度，完成部分非钨合金军品业务，拓宽了产品线。沈阳非</w:t>
      </w:r>
      <w:proofErr w:type="gramStart"/>
      <w:r w:rsidRPr="00277E5D">
        <w:rPr>
          <w:rFonts w:hint="eastAsia"/>
          <w:sz w:val="21"/>
          <w:szCs w:val="21"/>
        </w:rPr>
        <w:t>晶加强</w:t>
      </w:r>
      <w:proofErr w:type="gramEnd"/>
      <w:r w:rsidRPr="00277E5D">
        <w:rPr>
          <w:rFonts w:hint="eastAsia"/>
          <w:sz w:val="21"/>
          <w:szCs w:val="21"/>
        </w:rPr>
        <w:t>与各大科研院所联系，积极拓展科研项目，丰富产品规格。</w:t>
      </w:r>
    </w:p>
    <w:p w:rsidR="00A2119D" w:rsidRPr="00277E5D" w:rsidRDefault="00A2119D" w:rsidP="00CB5CA2">
      <w:pPr>
        <w:pStyle w:val="a3"/>
        <w:shd w:val="clear" w:color="auto" w:fill="FFFFFF"/>
        <w:spacing w:before="0" w:beforeAutospacing="0" w:after="0" w:afterAutospacing="0" w:line="360" w:lineRule="auto"/>
        <w:ind w:firstLine="561"/>
        <w:jc w:val="both"/>
        <w:divId w:val="18626773"/>
        <w:rPr>
          <w:sz w:val="21"/>
          <w:szCs w:val="21"/>
        </w:rPr>
      </w:pPr>
      <w:r w:rsidRPr="00277E5D">
        <w:rPr>
          <w:rFonts w:hint="eastAsia"/>
          <w:b/>
          <w:bCs/>
          <w:sz w:val="21"/>
          <w:szCs w:val="21"/>
        </w:rPr>
        <w:t>③强化管理控制、推动降本增效</w:t>
      </w:r>
    </w:p>
    <w:p w:rsidR="00A2119D" w:rsidRPr="00277E5D" w:rsidRDefault="00A2119D" w:rsidP="00CB5CA2">
      <w:pPr>
        <w:pStyle w:val="a3"/>
        <w:shd w:val="clear" w:color="auto" w:fill="FFFFFF"/>
        <w:spacing w:before="0" w:beforeAutospacing="0" w:after="0" w:afterAutospacing="0" w:line="360" w:lineRule="auto"/>
        <w:ind w:firstLine="561"/>
        <w:jc w:val="both"/>
        <w:divId w:val="18626773"/>
        <w:rPr>
          <w:sz w:val="21"/>
          <w:szCs w:val="21"/>
        </w:rPr>
      </w:pPr>
      <w:r w:rsidRPr="00277E5D">
        <w:rPr>
          <w:rFonts w:hint="eastAsia"/>
          <w:sz w:val="21"/>
          <w:szCs w:val="21"/>
        </w:rPr>
        <w:t>升华电源从人力资源优化、供应链管理强化、流程改进、强化成本管理等多个方</w:t>
      </w:r>
      <w:r w:rsidR="00D55DCF" w:rsidRPr="00277E5D">
        <w:rPr>
          <w:rFonts w:hint="eastAsia"/>
          <w:sz w:val="21"/>
          <w:szCs w:val="21"/>
        </w:rPr>
        <w:t>面入手，有效降低了成本费用。沈阳含能围绕</w:t>
      </w:r>
      <w:r w:rsidRPr="00277E5D">
        <w:rPr>
          <w:rFonts w:hint="eastAsia"/>
          <w:sz w:val="21"/>
          <w:szCs w:val="21"/>
        </w:rPr>
        <w:t>新技术、</w:t>
      </w:r>
      <w:r w:rsidR="00D55DCF" w:rsidRPr="00277E5D">
        <w:rPr>
          <w:rFonts w:hint="eastAsia"/>
          <w:sz w:val="21"/>
          <w:szCs w:val="21"/>
        </w:rPr>
        <w:t>新工艺</w:t>
      </w:r>
      <w:r w:rsidRPr="00277E5D">
        <w:rPr>
          <w:rFonts w:hint="eastAsia"/>
          <w:sz w:val="21"/>
          <w:szCs w:val="21"/>
        </w:rPr>
        <w:t>的实施与应用，从效率提升、成本降低、质量提高等方面发力，开展降本增效专项活动，使产品质量和成本竞争力得到提升。沈阳非</w:t>
      </w:r>
      <w:proofErr w:type="gramStart"/>
      <w:r w:rsidRPr="00277E5D">
        <w:rPr>
          <w:rFonts w:hint="eastAsia"/>
          <w:sz w:val="21"/>
          <w:szCs w:val="21"/>
        </w:rPr>
        <w:t>晶积极</w:t>
      </w:r>
      <w:proofErr w:type="gramEnd"/>
      <w:r w:rsidRPr="00277E5D">
        <w:rPr>
          <w:rFonts w:hint="eastAsia"/>
          <w:sz w:val="21"/>
          <w:szCs w:val="21"/>
        </w:rPr>
        <w:t>通过改进工艺，使产品良率、得</w:t>
      </w:r>
      <w:proofErr w:type="gramStart"/>
      <w:r w:rsidRPr="00277E5D">
        <w:rPr>
          <w:rFonts w:hint="eastAsia"/>
          <w:sz w:val="21"/>
          <w:szCs w:val="21"/>
        </w:rPr>
        <w:t>率得到</w:t>
      </w:r>
      <w:proofErr w:type="gramEnd"/>
      <w:r w:rsidRPr="00277E5D">
        <w:rPr>
          <w:rFonts w:hint="eastAsia"/>
          <w:sz w:val="21"/>
          <w:szCs w:val="21"/>
        </w:rPr>
        <w:t>提升，降低了生产成本。</w:t>
      </w:r>
    </w:p>
    <w:p w:rsidR="00A2119D" w:rsidRPr="00277E5D" w:rsidRDefault="00A2119D" w:rsidP="00CB5CA2">
      <w:pPr>
        <w:pStyle w:val="a3"/>
        <w:shd w:val="clear" w:color="auto" w:fill="FFFFFF"/>
        <w:spacing w:before="0" w:beforeAutospacing="0" w:after="0" w:afterAutospacing="0" w:line="360" w:lineRule="auto"/>
        <w:ind w:firstLine="561"/>
        <w:jc w:val="both"/>
        <w:divId w:val="18626773"/>
        <w:rPr>
          <w:sz w:val="21"/>
          <w:szCs w:val="21"/>
        </w:rPr>
      </w:pPr>
      <w:r w:rsidRPr="00277E5D">
        <w:rPr>
          <w:rFonts w:hint="eastAsia"/>
          <w:b/>
          <w:bCs/>
          <w:sz w:val="21"/>
          <w:szCs w:val="21"/>
        </w:rPr>
        <w:t>④强化协同合作、赋能业务发展</w:t>
      </w:r>
    </w:p>
    <w:p w:rsidR="00A2119D" w:rsidRPr="00444118" w:rsidRDefault="00E2634D" w:rsidP="00CB5CA2">
      <w:pPr>
        <w:pStyle w:val="a3"/>
        <w:shd w:val="clear" w:color="auto" w:fill="FFFFFF"/>
        <w:spacing w:before="0" w:beforeAutospacing="0" w:after="0" w:afterAutospacing="0" w:line="360" w:lineRule="auto"/>
        <w:ind w:firstLine="561"/>
        <w:jc w:val="both"/>
        <w:divId w:val="18626773"/>
        <w:rPr>
          <w:sz w:val="21"/>
          <w:szCs w:val="21"/>
        </w:rPr>
      </w:pPr>
      <w:r w:rsidRPr="00277E5D">
        <w:rPr>
          <w:rFonts w:hint="eastAsia"/>
          <w:sz w:val="21"/>
          <w:szCs w:val="21"/>
        </w:rPr>
        <w:t>公司不断规范管理体系，监督各单元、各环节规范运作，</w:t>
      </w:r>
      <w:r w:rsidR="00A2119D" w:rsidRPr="00277E5D">
        <w:rPr>
          <w:rFonts w:hint="eastAsia"/>
          <w:sz w:val="21"/>
          <w:szCs w:val="21"/>
        </w:rPr>
        <w:t>协助子公司提升专业管理水平，协同各子公司开展多类专项工作；首次组织协调各业务单元统一以公司名义参加珠海航展，积极导入客户资源，持续为子公司发展赋能。</w:t>
      </w:r>
    </w:p>
    <w:p w:rsidR="00A27D66" w:rsidRDefault="00A2119D">
      <w:pPr>
        <w:pStyle w:val="3"/>
        <w:spacing w:line="280" w:lineRule="exact"/>
        <w:jc w:val="left"/>
        <w:rPr>
          <w:rFonts w:ascii="宋体" w:hAnsi="宋体" w:cs="宋体"/>
          <w:b/>
          <w:bCs/>
        </w:rPr>
      </w:pPr>
      <w:bookmarkStart w:id="20" w:name="_Toc988908"/>
      <w:r>
        <w:rPr>
          <w:rFonts w:ascii="宋体" w:hAnsi="宋体" w:cs="宋体"/>
          <w:b/>
          <w:bCs/>
        </w:rPr>
        <w:t>2、收入与成本</w:t>
      </w:r>
      <w:bookmarkEnd w:id="20"/>
    </w:p>
    <w:p w:rsidR="00A27D66" w:rsidRDefault="00A2119D">
      <w:pPr>
        <w:keepNext/>
        <w:keepLines/>
        <w:spacing w:before="300" w:after="300" w:line="280" w:lineRule="exact"/>
        <w:outlineLvl w:val="3"/>
        <w:rPr>
          <w:rFonts w:ascii="宋体" w:eastAsia="宋体" w:hAnsi="宋体" w:cs="宋体"/>
          <w:b/>
          <w:bCs/>
          <w:szCs w:val="21"/>
        </w:rPr>
      </w:pPr>
      <w:bookmarkStart w:id="21" w:name="_Toc988909"/>
      <w:r>
        <w:rPr>
          <w:rFonts w:ascii="宋体" w:eastAsia="宋体" w:hAnsi="宋体" w:cs="宋体"/>
          <w:b/>
          <w:bCs/>
          <w:szCs w:val="21"/>
        </w:rPr>
        <w:t>（1） 营业收入构成</w:t>
      </w:r>
      <w:bookmarkEnd w:id="21"/>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7"/>
        <w:gridCol w:w="1606"/>
        <w:gridCol w:w="1607"/>
        <w:gridCol w:w="1607"/>
      </w:tblGrid>
      <w:tr w:rsidR="00A27D66" w:rsidTr="000F0160">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160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A27D66" w:rsidTr="000F0160">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60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0F016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396,288,612.52</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323,277,259.89</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22.58%</w:t>
            </w:r>
          </w:p>
        </w:tc>
      </w:tr>
      <w:tr w:rsidR="00A27D66">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A27D66" w:rsidTr="000F016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制造业</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388,916,169.71</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98.14%</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315,793,802.93</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97.69%</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23.16%</w:t>
            </w:r>
          </w:p>
        </w:tc>
      </w:tr>
      <w:tr w:rsidR="00A27D66" w:rsidTr="000F016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7,372,442.81</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1.86%</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0F0160">
            <w:pPr>
              <w:spacing w:line="240" w:lineRule="exact"/>
              <w:jc w:val="right"/>
              <w:rPr>
                <w:rFonts w:ascii="宋体" w:eastAsia="宋体" w:hAnsi="宋体" w:cs="宋体"/>
                <w:sz w:val="18"/>
                <w:szCs w:val="18"/>
              </w:rPr>
            </w:pPr>
            <w:r>
              <w:rPr>
                <w:rFonts w:ascii="宋体" w:eastAsia="宋体" w:hAnsi="宋体" w:cs="宋体"/>
                <w:sz w:val="18"/>
                <w:szCs w:val="18"/>
              </w:rPr>
              <w:t>7,483,456.96</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rsidP="000F0160">
            <w:pPr>
              <w:spacing w:line="240" w:lineRule="exact"/>
              <w:jc w:val="right"/>
              <w:rPr>
                <w:rFonts w:ascii="宋体" w:eastAsia="宋体" w:hAnsi="宋体" w:cs="宋体"/>
                <w:sz w:val="18"/>
                <w:szCs w:val="18"/>
              </w:rPr>
            </w:pPr>
            <w:r>
              <w:rPr>
                <w:rFonts w:ascii="宋体" w:eastAsia="宋体" w:hAnsi="宋体" w:cs="宋体"/>
                <w:sz w:val="18"/>
                <w:szCs w:val="18"/>
              </w:rPr>
              <w:t>2.3</w:t>
            </w:r>
            <w:r w:rsidR="000F0160">
              <w:rPr>
                <w:rFonts w:ascii="宋体" w:eastAsia="宋体" w:hAnsi="宋体" w:cs="宋体"/>
                <w:sz w:val="18"/>
                <w:szCs w:val="18"/>
              </w:rPr>
              <w:t>1</w:t>
            </w:r>
            <w:r>
              <w:rPr>
                <w:rFonts w:ascii="宋体" w:eastAsia="宋体" w:hAnsi="宋体" w:cs="宋体"/>
                <w:sz w:val="18"/>
                <w:szCs w:val="18"/>
              </w:rPr>
              <w:t>%</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575461" w:rsidP="000F0160">
            <w:pPr>
              <w:spacing w:line="240" w:lineRule="exact"/>
              <w:jc w:val="right"/>
              <w:rPr>
                <w:rFonts w:ascii="宋体" w:eastAsia="宋体" w:hAnsi="宋体" w:cs="宋体"/>
                <w:sz w:val="18"/>
                <w:szCs w:val="18"/>
              </w:rPr>
            </w:pPr>
            <w:r>
              <w:rPr>
                <w:rFonts w:ascii="宋体" w:eastAsia="宋体" w:hAnsi="宋体" w:cs="宋体"/>
                <w:sz w:val="18"/>
                <w:szCs w:val="18"/>
              </w:rPr>
              <w:t>-1.48</w:t>
            </w:r>
            <w:r w:rsidR="00A2119D">
              <w:rPr>
                <w:rFonts w:ascii="宋体" w:eastAsia="宋体" w:hAnsi="宋体" w:cs="宋体"/>
                <w:sz w:val="18"/>
                <w:szCs w:val="18"/>
              </w:rPr>
              <w:t>%</w:t>
            </w:r>
          </w:p>
        </w:tc>
      </w:tr>
      <w:tr w:rsidR="00A27D66">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A27D66" w:rsidTr="000F016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高性能特种合金材料制品</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142,637,660.19</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35.99%</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81,316,482.27</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25.15%</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75.41%</w:t>
            </w:r>
          </w:p>
        </w:tc>
      </w:tr>
      <w:tr w:rsidR="00A27D66" w:rsidTr="000F016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电源及相关产品</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246,278,509.52</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62.15%</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234,477,320.66</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72.53%</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5.03%</w:t>
            </w:r>
          </w:p>
        </w:tc>
      </w:tr>
      <w:tr w:rsidR="00A27D66" w:rsidTr="000F016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7,372,442.81</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1.86%</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7,483,456.96</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2.31%</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103AD1">
            <w:pPr>
              <w:spacing w:line="240" w:lineRule="exact"/>
              <w:jc w:val="right"/>
              <w:rPr>
                <w:rFonts w:ascii="宋体" w:eastAsia="宋体" w:hAnsi="宋体" w:cs="宋体"/>
                <w:sz w:val="18"/>
                <w:szCs w:val="18"/>
              </w:rPr>
            </w:pPr>
            <w:r w:rsidRPr="00446A85">
              <w:rPr>
                <w:rFonts w:ascii="宋体" w:eastAsia="宋体" w:hAnsi="宋体" w:cs="宋体"/>
                <w:sz w:val="18"/>
                <w:szCs w:val="18"/>
              </w:rPr>
              <w:t>-1.48%</w:t>
            </w:r>
          </w:p>
        </w:tc>
      </w:tr>
      <w:tr w:rsidR="00A27D66">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A27D66" w:rsidTr="000F016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国内</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396,288,612.52</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323,277,259.89</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22.58%</w:t>
            </w:r>
          </w:p>
        </w:tc>
      </w:tr>
      <w:tr w:rsidR="00A27D66">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分销售</w:t>
            </w:r>
            <w:proofErr w:type="gramEnd"/>
            <w:r>
              <w:rPr>
                <w:rFonts w:ascii="宋体" w:eastAsia="宋体" w:hAnsi="宋体" w:cs="宋体"/>
                <w:sz w:val="18"/>
                <w:szCs w:val="18"/>
              </w:rPr>
              <w:t>模式</w:t>
            </w:r>
          </w:p>
        </w:tc>
      </w:tr>
      <w:tr w:rsidR="00A27D66" w:rsidTr="000F016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直销</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396,288,612.52</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323,277,259.89</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22.58%</w:t>
            </w:r>
          </w:p>
        </w:tc>
      </w:tr>
    </w:tbl>
    <w:p w:rsidR="00A27D66" w:rsidRDefault="00A2119D">
      <w:pPr>
        <w:keepNext/>
        <w:keepLines/>
        <w:spacing w:before="300" w:after="300" w:line="280" w:lineRule="exact"/>
        <w:outlineLvl w:val="3"/>
        <w:rPr>
          <w:rFonts w:ascii="宋体" w:eastAsia="宋体" w:hAnsi="宋体" w:cs="宋体"/>
          <w:b/>
          <w:bCs/>
          <w:sz w:val="18"/>
          <w:szCs w:val="18"/>
        </w:rPr>
      </w:pPr>
      <w:bookmarkStart w:id="22" w:name="_Toc988910"/>
      <w:r>
        <w:rPr>
          <w:rFonts w:ascii="宋体" w:eastAsia="宋体" w:hAnsi="宋体" w:cs="宋体"/>
          <w:b/>
          <w:bCs/>
          <w:sz w:val="18"/>
          <w:szCs w:val="18"/>
        </w:rPr>
        <w:t>（2） 占公司营业收入或营业利润10%以上的行业、产品、地区、销售模式的情况</w:t>
      </w:r>
      <w:bookmarkEnd w:id="22"/>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60"/>
        <w:gridCol w:w="1559"/>
        <w:gridCol w:w="1559"/>
        <w:gridCol w:w="851"/>
        <w:gridCol w:w="1417"/>
        <w:gridCol w:w="1418"/>
        <w:gridCol w:w="1275"/>
      </w:tblGrid>
      <w:tr w:rsidR="00A27D66" w:rsidTr="001C4C5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营业收入比上年同期增减</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营业成本比上年同期增减</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毛利率比上年同期增减</w:t>
            </w:r>
          </w:p>
        </w:tc>
      </w:tr>
      <w:tr w:rsidR="00A27D66">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A27D66" w:rsidTr="001C4C55">
        <w:trPr>
          <w:trHeight w:val="240"/>
        </w:trPr>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制造业</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388,916,169.71</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178,125,499.55</w:t>
            </w:r>
          </w:p>
        </w:tc>
        <w:tc>
          <w:tcPr>
            <w:tcW w:w="8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54.20%</w:t>
            </w:r>
          </w:p>
        </w:tc>
        <w:tc>
          <w:tcPr>
            <w:tcW w:w="1417" w:type="dxa"/>
            <w:tcBorders>
              <w:top w:val="single" w:sz="2" w:space="0" w:color="auto"/>
              <w:left w:val="single" w:sz="2" w:space="0" w:color="auto"/>
              <w:bottom w:val="single" w:sz="2" w:space="0" w:color="auto"/>
              <w:right w:val="single" w:sz="2" w:space="0" w:color="auto"/>
            </w:tcBorders>
            <w:vAlign w:val="center"/>
          </w:tcPr>
          <w:p w:rsidR="00A27D66" w:rsidRDefault="00103AD1">
            <w:pPr>
              <w:spacing w:line="240" w:lineRule="exact"/>
              <w:jc w:val="right"/>
              <w:rPr>
                <w:rFonts w:ascii="宋体" w:eastAsia="宋体" w:hAnsi="宋体" w:cs="宋体"/>
                <w:sz w:val="18"/>
                <w:szCs w:val="18"/>
              </w:rPr>
            </w:pPr>
            <w:r w:rsidRPr="00EA603A">
              <w:rPr>
                <w:rFonts w:ascii="宋体" w:eastAsia="宋体" w:hAnsi="宋体" w:cs="宋体"/>
                <w:sz w:val="18"/>
                <w:szCs w:val="18"/>
              </w:rPr>
              <w:t>23.16%</w:t>
            </w: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17.28%</w:t>
            </w:r>
          </w:p>
        </w:tc>
        <w:tc>
          <w:tcPr>
            <w:tcW w:w="127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2.29%</w:t>
            </w:r>
          </w:p>
        </w:tc>
      </w:tr>
      <w:tr w:rsidR="00A27D66">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103AD1" w:rsidTr="001C4C55">
        <w:trPr>
          <w:trHeight w:val="240"/>
        </w:trPr>
        <w:tc>
          <w:tcPr>
            <w:tcW w:w="1560"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rPr>
                <w:rFonts w:ascii="宋体" w:eastAsia="宋体" w:hAnsi="宋体" w:cs="宋体"/>
                <w:sz w:val="18"/>
                <w:szCs w:val="18"/>
              </w:rPr>
            </w:pPr>
            <w:r>
              <w:rPr>
                <w:rFonts w:ascii="宋体" w:eastAsia="宋体" w:hAnsi="宋体" w:cs="宋体"/>
                <w:sz w:val="18"/>
                <w:szCs w:val="18"/>
              </w:rPr>
              <w:t>高性能特种合金材料制品</w:t>
            </w:r>
          </w:p>
        </w:tc>
        <w:tc>
          <w:tcPr>
            <w:tcW w:w="1559"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EA603A">
              <w:rPr>
                <w:rFonts w:ascii="宋体" w:eastAsia="宋体" w:hAnsi="宋体" w:cs="宋体"/>
                <w:sz w:val="18"/>
                <w:szCs w:val="18"/>
              </w:rPr>
              <w:t>135,066,352.72</w:t>
            </w:r>
          </w:p>
        </w:tc>
        <w:tc>
          <w:tcPr>
            <w:tcW w:w="1559"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EA603A">
              <w:rPr>
                <w:rFonts w:ascii="宋体" w:eastAsia="宋体" w:hAnsi="宋体" w:cs="宋体"/>
                <w:sz w:val="18"/>
                <w:szCs w:val="18"/>
              </w:rPr>
              <w:t>98,449,467.41</w:t>
            </w:r>
          </w:p>
        </w:tc>
        <w:tc>
          <w:tcPr>
            <w:tcW w:w="851"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EA603A">
              <w:rPr>
                <w:rFonts w:ascii="宋体" w:eastAsia="宋体" w:hAnsi="宋体" w:cs="宋体"/>
                <w:sz w:val="18"/>
                <w:szCs w:val="18"/>
              </w:rPr>
              <w:t>27.11%</w:t>
            </w:r>
          </w:p>
        </w:tc>
        <w:tc>
          <w:tcPr>
            <w:tcW w:w="141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EA603A">
              <w:rPr>
                <w:rFonts w:ascii="宋体" w:eastAsia="宋体" w:hAnsi="宋体" w:cs="宋体"/>
                <w:sz w:val="18"/>
                <w:szCs w:val="18"/>
              </w:rPr>
              <w:t>66.10%</w:t>
            </w:r>
          </w:p>
        </w:tc>
        <w:tc>
          <w:tcPr>
            <w:tcW w:w="1418"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EA603A">
              <w:rPr>
                <w:rFonts w:ascii="宋体" w:eastAsia="宋体" w:hAnsi="宋体" w:cs="宋体"/>
                <w:sz w:val="18"/>
                <w:szCs w:val="18"/>
              </w:rPr>
              <w:t>11.97%</w:t>
            </w:r>
          </w:p>
        </w:tc>
        <w:tc>
          <w:tcPr>
            <w:tcW w:w="1275"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EA603A">
              <w:rPr>
                <w:rFonts w:ascii="宋体" w:eastAsia="宋体" w:hAnsi="宋体" w:cs="宋体"/>
                <w:sz w:val="18"/>
                <w:szCs w:val="18"/>
              </w:rPr>
              <w:t>35.24%</w:t>
            </w:r>
          </w:p>
        </w:tc>
      </w:tr>
      <w:tr w:rsidR="00103AD1" w:rsidTr="001C4C55">
        <w:trPr>
          <w:trHeight w:val="240"/>
        </w:trPr>
        <w:tc>
          <w:tcPr>
            <w:tcW w:w="1560"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rPr>
                <w:rFonts w:ascii="宋体" w:eastAsia="宋体" w:hAnsi="宋体" w:cs="宋体"/>
                <w:sz w:val="18"/>
                <w:szCs w:val="18"/>
              </w:rPr>
            </w:pPr>
            <w:r>
              <w:rPr>
                <w:rFonts w:ascii="宋体" w:eastAsia="宋体" w:hAnsi="宋体" w:cs="宋体"/>
                <w:sz w:val="18"/>
                <w:szCs w:val="18"/>
              </w:rPr>
              <w:t>电源及相关产品</w:t>
            </w:r>
          </w:p>
        </w:tc>
        <w:tc>
          <w:tcPr>
            <w:tcW w:w="1559"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EA603A">
              <w:rPr>
                <w:rFonts w:ascii="宋体" w:eastAsia="宋体" w:hAnsi="宋体" w:cs="宋体"/>
                <w:sz w:val="18"/>
                <w:szCs w:val="18"/>
              </w:rPr>
              <w:t>253,849,816.99</w:t>
            </w:r>
          </w:p>
        </w:tc>
        <w:tc>
          <w:tcPr>
            <w:tcW w:w="1559"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EA603A">
              <w:rPr>
                <w:rFonts w:ascii="宋体" w:eastAsia="宋体" w:hAnsi="宋体" w:cs="宋体"/>
                <w:sz w:val="18"/>
                <w:szCs w:val="18"/>
              </w:rPr>
              <w:t>79,676,032.14</w:t>
            </w:r>
          </w:p>
        </w:tc>
        <w:tc>
          <w:tcPr>
            <w:tcW w:w="851"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EA603A">
              <w:rPr>
                <w:rFonts w:ascii="宋体" w:eastAsia="宋体" w:hAnsi="宋体" w:cs="宋体"/>
                <w:sz w:val="18"/>
                <w:szCs w:val="18"/>
              </w:rPr>
              <w:t>68.61%</w:t>
            </w:r>
          </w:p>
        </w:tc>
        <w:tc>
          <w:tcPr>
            <w:tcW w:w="141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EA603A">
              <w:rPr>
                <w:rFonts w:ascii="宋体" w:eastAsia="宋体" w:hAnsi="宋体" w:cs="宋体"/>
                <w:sz w:val="18"/>
                <w:szCs w:val="18"/>
              </w:rPr>
              <w:t>8.26%</w:t>
            </w:r>
          </w:p>
        </w:tc>
        <w:tc>
          <w:tcPr>
            <w:tcW w:w="1418"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EA603A">
              <w:rPr>
                <w:rFonts w:ascii="宋体" w:eastAsia="宋体" w:hAnsi="宋体" w:cs="宋体"/>
                <w:sz w:val="18"/>
                <w:szCs w:val="18"/>
              </w:rPr>
              <w:t>24.59%</w:t>
            </w:r>
          </w:p>
        </w:tc>
        <w:tc>
          <w:tcPr>
            <w:tcW w:w="1275"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EA603A">
              <w:rPr>
                <w:rFonts w:ascii="宋体" w:eastAsia="宋体" w:hAnsi="宋体" w:cs="宋体"/>
                <w:sz w:val="18"/>
                <w:szCs w:val="18"/>
              </w:rPr>
              <w:t>-4.12%</w:t>
            </w:r>
          </w:p>
        </w:tc>
      </w:tr>
      <w:tr w:rsidR="00A27D66">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A27D66" w:rsidRPr="000A1D01" w:rsidTr="001C4C55">
        <w:trPr>
          <w:trHeight w:val="240"/>
        </w:trPr>
        <w:tc>
          <w:tcPr>
            <w:tcW w:w="1560"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rPr>
                <w:rFonts w:ascii="宋体" w:eastAsia="宋体" w:hAnsi="宋体" w:cs="宋体"/>
                <w:sz w:val="18"/>
                <w:szCs w:val="18"/>
              </w:rPr>
            </w:pPr>
            <w:r w:rsidRPr="000A1D01">
              <w:rPr>
                <w:rFonts w:ascii="宋体" w:eastAsia="宋体" w:hAnsi="宋体" w:cs="宋体"/>
                <w:sz w:val="18"/>
                <w:szCs w:val="18"/>
              </w:rPr>
              <w:t>国内</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Pr="000A1D01" w:rsidRDefault="00012253">
            <w:pPr>
              <w:spacing w:line="240" w:lineRule="exact"/>
              <w:jc w:val="right"/>
              <w:rPr>
                <w:rFonts w:ascii="宋体" w:eastAsia="宋体" w:hAnsi="宋体" w:cs="宋体"/>
                <w:sz w:val="18"/>
                <w:szCs w:val="18"/>
              </w:rPr>
            </w:pPr>
            <w:r w:rsidRPr="000A1D01">
              <w:rPr>
                <w:rFonts w:ascii="宋体" w:eastAsia="宋体" w:hAnsi="宋体" w:cs="宋体"/>
                <w:sz w:val="18"/>
                <w:szCs w:val="18"/>
              </w:rPr>
              <w:t>396,288,612.52</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Pr="000A1D01" w:rsidRDefault="00012253">
            <w:pPr>
              <w:spacing w:line="240" w:lineRule="exact"/>
              <w:jc w:val="right"/>
              <w:rPr>
                <w:rFonts w:ascii="宋体" w:eastAsia="宋体" w:hAnsi="宋体" w:cs="宋体"/>
                <w:sz w:val="18"/>
                <w:szCs w:val="18"/>
              </w:rPr>
            </w:pPr>
            <w:r w:rsidRPr="000A1D01">
              <w:rPr>
                <w:rFonts w:ascii="宋体" w:eastAsia="宋体" w:hAnsi="宋体" w:cs="宋体"/>
                <w:sz w:val="18"/>
                <w:szCs w:val="18"/>
              </w:rPr>
              <w:t>187,566,411.96</w:t>
            </w:r>
          </w:p>
        </w:tc>
        <w:tc>
          <w:tcPr>
            <w:tcW w:w="851" w:type="dxa"/>
            <w:tcBorders>
              <w:top w:val="single" w:sz="2" w:space="0" w:color="auto"/>
              <w:left w:val="single" w:sz="2" w:space="0" w:color="auto"/>
              <w:bottom w:val="single" w:sz="2" w:space="0" w:color="auto"/>
              <w:right w:val="single" w:sz="2" w:space="0" w:color="auto"/>
            </w:tcBorders>
            <w:vAlign w:val="center"/>
          </w:tcPr>
          <w:p w:rsidR="00A27D66" w:rsidRPr="000A1D01" w:rsidRDefault="00A02A1C">
            <w:pPr>
              <w:spacing w:line="240" w:lineRule="exact"/>
              <w:jc w:val="right"/>
              <w:rPr>
                <w:rFonts w:ascii="宋体" w:eastAsia="宋体" w:hAnsi="宋体" w:cs="宋体"/>
                <w:sz w:val="18"/>
                <w:szCs w:val="18"/>
              </w:rPr>
            </w:pPr>
            <w:r w:rsidRPr="000A1D01">
              <w:rPr>
                <w:rFonts w:ascii="宋体" w:eastAsia="宋体" w:hAnsi="宋体" w:cs="宋体"/>
                <w:sz w:val="18"/>
                <w:szCs w:val="18"/>
              </w:rPr>
              <w:t>52.67%</w:t>
            </w:r>
          </w:p>
        </w:tc>
        <w:tc>
          <w:tcPr>
            <w:tcW w:w="1417" w:type="dxa"/>
            <w:tcBorders>
              <w:top w:val="single" w:sz="2" w:space="0" w:color="auto"/>
              <w:left w:val="single" w:sz="2" w:space="0" w:color="auto"/>
              <w:bottom w:val="single" w:sz="2" w:space="0" w:color="auto"/>
              <w:right w:val="single" w:sz="2" w:space="0" w:color="auto"/>
            </w:tcBorders>
            <w:vAlign w:val="center"/>
          </w:tcPr>
          <w:p w:rsidR="00A27D66" w:rsidRPr="000A1D01" w:rsidRDefault="00A02A1C">
            <w:pPr>
              <w:spacing w:line="240" w:lineRule="exact"/>
              <w:jc w:val="right"/>
              <w:rPr>
                <w:rFonts w:ascii="宋体" w:eastAsia="宋体" w:hAnsi="宋体" w:cs="宋体"/>
                <w:sz w:val="18"/>
                <w:szCs w:val="18"/>
              </w:rPr>
            </w:pPr>
            <w:r w:rsidRPr="000A1D01">
              <w:rPr>
                <w:rFonts w:ascii="宋体" w:eastAsia="宋体" w:hAnsi="宋体" w:cs="宋体"/>
                <w:sz w:val="18"/>
                <w:szCs w:val="18"/>
              </w:rPr>
              <w:t>22.58%</w:t>
            </w:r>
          </w:p>
        </w:tc>
        <w:tc>
          <w:tcPr>
            <w:tcW w:w="1418" w:type="dxa"/>
            <w:tcBorders>
              <w:top w:val="single" w:sz="2" w:space="0" w:color="auto"/>
              <w:left w:val="single" w:sz="2" w:space="0" w:color="auto"/>
              <w:bottom w:val="single" w:sz="2" w:space="0" w:color="auto"/>
              <w:right w:val="single" w:sz="2" w:space="0" w:color="auto"/>
            </w:tcBorders>
            <w:vAlign w:val="center"/>
          </w:tcPr>
          <w:p w:rsidR="00A27D66" w:rsidRPr="000A1D01" w:rsidRDefault="00A02A1C">
            <w:pPr>
              <w:spacing w:line="240" w:lineRule="exact"/>
              <w:jc w:val="right"/>
              <w:rPr>
                <w:rFonts w:ascii="宋体" w:eastAsia="宋体" w:hAnsi="宋体" w:cs="宋体"/>
                <w:sz w:val="18"/>
                <w:szCs w:val="18"/>
              </w:rPr>
            </w:pPr>
            <w:r w:rsidRPr="000A1D01">
              <w:rPr>
                <w:rFonts w:ascii="宋体" w:eastAsia="宋体" w:hAnsi="宋体" w:cs="宋体"/>
                <w:sz w:val="18"/>
                <w:szCs w:val="18"/>
              </w:rPr>
              <w:t>20.35%</w:t>
            </w:r>
          </w:p>
        </w:tc>
        <w:tc>
          <w:tcPr>
            <w:tcW w:w="1275" w:type="dxa"/>
            <w:tcBorders>
              <w:top w:val="single" w:sz="2" w:space="0" w:color="auto"/>
              <w:left w:val="single" w:sz="2" w:space="0" w:color="auto"/>
              <w:bottom w:val="single" w:sz="2" w:space="0" w:color="auto"/>
              <w:right w:val="single" w:sz="2" w:space="0" w:color="auto"/>
            </w:tcBorders>
            <w:vAlign w:val="center"/>
          </w:tcPr>
          <w:p w:rsidR="00A27D66" w:rsidRPr="000A1D01" w:rsidRDefault="00A02A1C" w:rsidP="00012253">
            <w:pPr>
              <w:spacing w:line="240" w:lineRule="exact"/>
              <w:jc w:val="right"/>
              <w:rPr>
                <w:rFonts w:ascii="宋体" w:eastAsia="宋体" w:hAnsi="宋体" w:cs="宋体"/>
                <w:sz w:val="18"/>
                <w:szCs w:val="18"/>
              </w:rPr>
            </w:pPr>
            <w:r w:rsidRPr="000A1D01">
              <w:rPr>
                <w:rFonts w:ascii="宋体" w:eastAsia="宋体" w:hAnsi="宋体" w:cs="宋体"/>
                <w:sz w:val="18"/>
                <w:szCs w:val="18"/>
              </w:rPr>
              <w:t>0.88%</w:t>
            </w:r>
          </w:p>
        </w:tc>
      </w:tr>
      <w:tr w:rsidR="00A27D66" w:rsidRPr="000A1D01">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0A1D01" w:rsidRDefault="00A2119D">
            <w:pPr>
              <w:spacing w:before="40" w:after="40" w:line="240" w:lineRule="exact"/>
              <w:rPr>
                <w:rFonts w:ascii="宋体" w:eastAsia="宋体" w:hAnsi="宋体" w:cs="宋体"/>
                <w:sz w:val="18"/>
                <w:szCs w:val="18"/>
              </w:rPr>
            </w:pPr>
            <w:proofErr w:type="gramStart"/>
            <w:r w:rsidRPr="000A1D01">
              <w:rPr>
                <w:rFonts w:ascii="宋体" w:eastAsia="宋体" w:hAnsi="宋体" w:cs="宋体"/>
                <w:sz w:val="18"/>
                <w:szCs w:val="18"/>
              </w:rPr>
              <w:t>分销售</w:t>
            </w:r>
            <w:proofErr w:type="gramEnd"/>
            <w:r w:rsidRPr="000A1D01">
              <w:rPr>
                <w:rFonts w:ascii="宋体" w:eastAsia="宋体" w:hAnsi="宋体" w:cs="宋体"/>
                <w:sz w:val="18"/>
                <w:szCs w:val="18"/>
              </w:rPr>
              <w:t>模式</w:t>
            </w:r>
          </w:p>
        </w:tc>
      </w:tr>
      <w:tr w:rsidR="00A02A1C" w:rsidRPr="000A1D01" w:rsidTr="001C4C55">
        <w:trPr>
          <w:trHeight w:val="240"/>
        </w:trPr>
        <w:tc>
          <w:tcPr>
            <w:tcW w:w="1560" w:type="dxa"/>
            <w:tcBorders>
              <w:top w:val="single" w:sz="2" w:space="0" w:color="auto"/>
              <w:left w:val="single" w:sz="2" w:space="0" w:color="auto"/>
              <w:bottom w:val="single" w:sz="2" w:space="0" w:color="auto"/>
              <w:right w:val="single" w:sz="2" w:space="0" w:color="auto"/>
            </w:tcBorders>
            <w:vAlign w:val="center"/>
          </w:tcPr>
          <w:p w:rsidR="00A02A1C" w:rsidRPr="000A1D01" w:rsidRDefault="00A02A1C" w:rsidP="00A02A1C">
            <w:pPr>
              <w:spacing w:line="240" w:lineRule="exact"/>
              <w:rPr>
                <w:rFonts w:ascii="宋体" w:eastAsia="宋体" w:hAnsi="宋体" w:cs="宋体"/>
                <w:sz w:val="18"/>
                <w:szCs w:val="18"/>
              </w:rPr>
            </w:pPr>
            <w:r w:rsidRPr="000A1D01">
              <w:rPr>
                <w:rFonts w:ascii="宋体" w:eastAsia="宋体" w:hAnsi="宋体" w:cs="宋体"/>
                <w:sz w:val="18"/>
                <w:szCs w:val="18"/>
              </w:rPr>
              <w:t>直销</w:t>
            </w:r>
          </w:p>
        </w:tc>
        <w:tc>
          <w:tcPr>
            <w:tcW w:w="1559" w:type="dxa"/>
            <w:tcBorders>
              <w:top w:val="single" w:sz="2" w:space="0" w:color="auto"/>
              <w:left w:val="single" w:sz="2" w:space="0" w:color="auto"/>
              <w:bottom w:val="single" w:sz="2" w:space="0" w:color="auto"/>
              <w:right w:val="single" w:sz="2" w:space="0" w:color="auto"/>
            </w:tcBorders>
            <w:vAlign w:val="center"/>
          </w:tcPr>
          <w:p w:rsidR="00A02A1C" w:rsidRPr="000A1D01" w:rsidRDefault="00A02A1C" w:rsidP="00A02A1C">
            <w:pPr>
              <w:spacing w:line="240" w:lineRule="exact"/>
              <w:jc w:val="right"/>
              <w:rPr>
                <w:rFonts w:ascii="宋体" w:eastAsia="宋体" w:hAnsi="宋体" w:cs="宋体"/>
                <w:sz w:val="18"/>
                <w:szCs w:val="18"/>
              </w:rPr>
            </w:pPr>
            <w:r w:rsidRPr="000A1D01">
              <w:rPr>
                <w:rFonts w:ascii="宋体" w:eastAsia="宋体" w:hAnsi="宋体" w:cs="宋体"/>
                <w:sz w:val="18"/>
                <w:szCs w:val="18"/>
              </w:rPr>
              <w:t>396,288,612.52</w:t>
            </w:r>
          </w:p>
        </w:tc>
        <w:tc>
          <w:tcPr>
            <w:tcW w:w="1559" w:type="dxa"/>
            <w:tcBorders>
              <w:top w:val="single" w:sz="2" w:space="0" w:color="auto"/>
              <w:left w:val="single" w:sz="2" w:space="0" w:color="auto"/>
              <w:bottom w:val="single" w:sz="2" w:space="0" w:color="auto"/>
              <w:right w:val="single" w:sz="2" w:space="0" w:color="auto"/>
            </w:tcBorders>
            <w:vAlign w:val="center"/>
          </w:tcPr>
          <w:p w:rsidR="00A02A1C" w:rsidRPr="000A1D01" w:rsidRDefault="00A02A1C" w:rsidP="00A02A1C">
            <w:pPr>
              <w:spacing w:line="240" w:lineRule="exact"/>
              <w:jc w:val="right"/>
              <w:rPr>
                <w:rFonts w:ascii="宋体" w:eastAsia="宋体" w:hAnsi="宋体" w:cs="宋体"/>
                <w:sz w:val="18"/>
                <w:szCs w:val="18"/>
              </w:rPr>
            </w:pPr>
            <w:r w:rsidRPr="000A1D01">
              <w:rPr>
                <w:rFonts w:ascii="宋体" w:eastAsia="宋体" w:hAnsi="宋体" w:cs="宋体"/>
                <w:sz w:val="18"/>
                <w:szCs w:val="18"/>
              </w:rPr>
              <w:t>187,566,411.96</w:t>
            </w:r>
          </w:p>
        </w:tc>
        <w:tc>
          <w:tcPr>
            <w:tcW w:w="851" w:type="dxa"/>
            <w:tcBorders>
              <w:top w:val="single" w:sz="2" w:space="0" w:color="auto"/>
              <w:left w:val="single" w:sz="2" w:space="0" w:color="auto"/>
              <w:bottom w:val="single" w:sz="2" w:space="0" w:color="auto"/>
              <w:right w:val="single" w:sz="2" w:space="0" w:color="auto"/>
            </w:tcBorders>
            <w:vAlign w:val="center"/>
          </w:tcPr>
          <w:p w:rsidR="00A02A1C" w:rsidRPr="000A1D01" w:rsidRDefault="00A02A1C" w:rsidP="00A02A1C">
            <w:pPr>
              <w:spacing w:line="240" w:lineRule="exact"/>
              <w:jc w:val="right"/>
              <w:rPr>
                <w:rFonts w:ascii="宋体" w:eastAsia="宋体" w:hAnsi="宋体" w:cs="宋体"/>
                <w:sz w:val="18"/>
                <w:szCs w:val="18"/>
              </w:rPr>
            </w:pPr>
            <w:r w:rsidRPr="000A1D01">
              <w:rPr>
                <w:rFonts w:ascii="宋体" w:eastAsia="宋体" w:hAnsi="宋体" w:cs="宋体"/>
                <w:sz w:val="18"/>
                <w:szCs w:val="18"/>
              </w:rPr>
              <w:t>52.67%</w:t>
            </w:r>
          </w:p>
        </w:tc>
        <w:tc>
          <w:tcPr>
            <w:tcW w:w="1417" w:type="dxa"/>
            <w:tcBorders>
              <w:top w:val="single" w:sz="2" w:space="0" w:color="auto"/>
              <w:left w:val="single" w:sz="2" w:space="0" w:color="auto"/>
              <w:bottom w:val="single" w:sz="2" w:space="0" w:color="auto"/>
              <w:right w:val="single" w:sz="2" w:space="0" w:color="auto"/>
            </w:tcBorders>
            <w:vAlign w:val="center"/>
          </w:tcPr>
          <w:p w:rsidR="00A02A1C" w:rsidRPr="000A1D01" w:rsidRDefault="00A02A1C" w:rsidP="00A02A1C">
            <w:pPr>
              <w:spacing w:line="240" w:lineRule="exact"/>
              <w:jc w:val="right"/>
              <w:rPr>
                <w:rFonts w:ascii="宋体" w:eastAsia="宋体" w:hAnsi="宋体" w:cs="宋体"/>
                <w:sz w:val="18"/>
                <w:szCs w:val="18"/>
              </w:rPr>
            </w:pPr>
            <w:r w:rsidRPr="000A1D01">
              <w:rPr>
                <w:rFonts w:ascii="宋体" w:eastAsia="宋体" w:hAnsi="宋体" w:cs="宋体"/>
                <w:sz w:val="18"/>
                <w:szCs w:val="18"/>
              </w:rPr>
              <w:t>22.58%</w:t>
            </w:r>
          </w:p>
        </w:tc>
        <w:tc>
          <w:tcPr>
            <w:tcW w:w="1418" w:type="dxa"/>
            <w:tcBorders>
              <w:top w:val="single" w:sz="2" w:space="0" w:color="auto"/>
              <w:left w:val="single" w:sz="2" w:space="0" w:color="auto"/>
              <w:bottom w:val="single" w:sz="2" w:space="0" w:color="auto"/>
              <w:right w:val="single" w:sz="2" w:space="0" w:color="auto"/>
            </w:tcBorders>
            <w:vAlign w:val="center"/>
          </w:tcPr>
          <w:p w:rsidR="00A02A1C" w:rsidRPr="000A1D01" w:rsidRDefault="00A02A1C" w:rsidP="00A02A1C">
            <w:pPr>
              <w:spacing w:line="240" w:lineRule="exact"/>
              <w:jc w:val="right"/>
              <w:rPr>
                <w:rFonts w:ascii="宋体" w:eastAsia="宋体" w:hAnsi="宋体" w:cs="宋体"/>
                <w:sz w:val="18"/>
                <w:szCs w:val="18"/>
              </w:rPr>
            </w:pPr>
            <w:r w:rsidRPr="000A1D01">
              <w:rPr>
                <w:rFonts w:ascii="宋体" w:eastAsia="宋体" w:hAnsi="宋体" w:cs="宋体"/>
                <w:sz w:val="18"/>
                <w:szCs w:val="18"/>
              </w:rPr>
              <w:t>20.35%</w:t>
            </w:r>
          </w:p>
        </w:tc>
        <w:tc>
          <w:tcPr>
            <w:tcW w:w="1275" w:type="dxa"/>
            <w:tcBorders>
              <w:top w:val="single" w:sz="2" w:space="0" w:color="auto"/>
              <w:left w:val="single" w:sz="2" w:space="0" w:color="auto"/>
              <w:bottom w:val="single" w:sz="2" w:space="0" w:color="auto"/>
              <w:right w:val="single" w:sz="2" w:space="0" w:color="auto"/>
            </w:tcBorders>
            <w:vAlign w:val="center"/>
          </w:tcPr>
          <w:p w:rsidR="00A02A1C" w:rsidRPr="000A1D01" w:rsidRDefault="00A02A1C" w:rsidP="00A02A1C">
            <w:pPr>
              <w:spacing w:line="240" w:lineRule="exact"/>
              <w:jc w:val="right"/>
              <w:rPr>
                <w:rFonts w:ascii="宋体" w:eastAsia="宋体" w:hAnsi="宋体" w:cs="宋体"/>
                <w:sz w:val="18"/>
                <w:szCs w:val="18"/>
              </w:rPr>
            </w:pPr>
            <w:r w:rsidRPr="000A1D01">
              <w:rPr>
                <w:rFonts w:ascii="宋体" w:eastAsia="宋体" w:hAnsi="宋体" w:cs="宋体"/>
                <w:sz w:val="18"/>
                <w:szCs w:val="18"/>
              </w:rPr>
              <w:t>0.88%</w:t>
            </w:r>
          </w:p>
        </w:tc>
      </w:tr>
    </w:tbl>
    <w:p w:rsidR="00A27D66" w:rsidRPr="000A1D01" w:rsidRDefault="00A2119D">
      <w:pPr>
        <w:spacing w:before="100" w:after="100" w:line="240" w:lineRule="exact"/>
        <w:rPr>
          <w:rFonts w:ascii="宋体" w:eastAsia="宋体" w:hAnsi="宋体" w:cs="宋体"/>
          <w:sz w:val="18"/>
          <w:szCs w:val="18"/>
        </w:rPr>
      </w:pPr>
      <w:r w:rsidRPr="000A1D01">
        <w:rPr>
          <w:rFonts w:ascii="宋体" w:eastAsia="宋体" w:hAnsi="宋体" w:cs="宋体"/>
          <w:sz w:val="18"/>
          <w:szCs w:val="18"/>
        </w:rPr>
        <w:t>公司主营业务数据统计口径在报告期发生调整的情况下，公司最近1年按报告期末口径调整后的主营业务数据</w:t>
      </w:r>
    </w:p>
    <w:p w:rsidR="00A27D66" w:rsidRPr="000A1D01" w:rsidRDefault="00A2119D">
      <w:pPr>
        <w:spacing w:before="100" w:after="100" w:line="240" w:lineRule="exact"/>
        <w:rPr>
          <w:rFonts w:ascii="宋体" w:eastAsia="宋体" w:hAnsi="宋体" w:cs="宋体"/>
          <w:sz w:val="18"/>
          <w:szCs w:val="18"/>
        </w:rPr>
      </w:pPr>
      <w:r w:rsidRPr="000A1D01">
        <w:rPr>
          <w:rFonts w:ascii="宋体" w:eastAsia="宋体" w:hAnsi="宋体" w:cs="宋体"/>
          <w:sz w:val="18"/>
          <w:szCs w:val="18"/>
        </w:rPr>
        <w:t xml:space="preserve">□适用 </w:t>
      </w:r>
      <w:r w:rsidRPr="000A1D01">
        <w:rPr>
          <w:rFonts w:ascii="宋体" w:eastAsia="宋体" w:hAnsi="宋体" w:cs="宋体"/>
          <w:sz w:val="18"/>
          <w:szCs w:val="18"/>
        </w:rPr>
        <w:sym w:font="Wingdings 2" w:char="F052"/>
      </w:r>
      <w:r w:rsidRPr="000A1D01">
        <w:rPr>
          <w:rFonts w:ascii="宋体" w:eastAsia="宋体" w:hAnsi="宋体" w:cs="宋体"/>
          <w:sz w:val="18"/>
          <w:szCs w:val="18"/>
        </w:rPr>
        <w:t>不适用</w:t>
      </w:r>
    </w:p>
    <w:p w:rsidR="00A27D66" w:rsidRPr="000A1D01" w:rsidRDefault="00A2119D">
      <w:pPr>
        <w:keepNext/>
        <w:keepLines/>
        <w:spacing w:before="300" w:after="300" w:line="280" w:lineRule="exact"/>
        <w:outlineLvl w:val="3"/>
        <w:rPr>
          <w:rFonts w:ascii="宋体" w:eastAsia="宋体" w:hAnsi="宋体" w:cs="宋体"/>
          <w:b/>
          <w:bCs/>
          <w:sz w:val="18"/>
          <w:szCs w:val="18"/>
        </w:rPr>
      </w:pPr>
      <w:bookmarkStart w:id="23" w:name="_Toc988911"/>
      <w:r w:rsidRPr="000A1D01">
        <w:rPr>
          <w:rFonts w:ascii="宋体" w:eastAsia="宋体" w:hAnsi="宋体" w:cs="宋体"/>
          <w:b/>
          <w:bCs/>
          <w:sz w:val="18"/>
          <w:szCs w:val="18"/>
        </w:rPr>
        <w:t>（3） 公司实物销售收入是否大于劳务收入</w:t>
      </w:r>
      <w:bookmarkEnd w:id="23"/>
    </w:p>
    <w:p w:rsidR="00A27D66" w:rsidRPr="000A1D01" w:rsidRDefault="00A2119D">
      <w:pPr>
        <w:spacing w:before="100" w:after="100" w:line="240" w:lineRule="exact"/>
        <w:rPr>
          <w:rFonts w:ascii="宋体" w:eastAsia="宋体" w:hAnsi="宋体" w:cs="宋体"/>
          <w:sz w:val="18"/>
          <w:szCs w:val="18"/>
        </w:rPr>
      </w:pPr>
      <w:r w:rsidRPr="000A1D01">
        <w:rPr>
          <w:rFonts w:ascii="宋体" w:eastAsia="宋体" w:hAnsi="宋体" w:cs="宋体"/>
          <w:sz w:val="18"/>
          <w:szCs w:val="18"/>
        </w:rPr>
        <w:sym w:font="Wingdings 2" w:char="F052"/>
      </w:r>
      <w:r w:rsidRPr="000A1D01">
        <w:rPr>
          <w:rFonts w:ascii="宋体" w:eastAsia="宋体" w:hAnsi="宋体" w:cs="宋体"/>
          <w:sz w:val="18"/>
          <w:szCs w:val="18"/>
        </w:rPr>
        <w:t>是 □否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A27D66" w:rsidRPr="000A1D01" w:rsidTr="001C4C55">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0A1D01" w:rsidRDefault="00A2119D">
            <w:pPr>
              <w:spacing w:before="40" w:after="40" w:line="240" w:lineRule="exact"/>
              <w:jc w:val="center"/>
              <w:rPr>
                <w:rFonts w:ascii="宋体" w:eastAsia="宋体" w:hAnsi="宋体" w:cs="宋体"/>
                <w:sz w:val="18"/>
                <w:szCs w:val="18"/>
              </w:rPr>
            </w:pPr>
            <w:r w:rsidRPr="000A1D01">
              <w:rPr>
                <w:rFonts w:ascii="宋体" w:eastAsia="宋体" w:hAnsi="宋体" w:cs="宋体"/>
                <w:sz w:val="18"/>
                <w:szCs w:val="18"/>
              </w:rPr>
              <w:t>行业分类</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0A1D01" w:rsidRDefault="00A2119D">
            <w:pPr>
              <w:spacing w:before="40" w:after="40" w:line="240" w:lineRule="exact"/>
              <w:jc w:val="center"/>
              <w:rPr>
                <w:rFonts w:ascii="宋体" w:eastAsia="宋体" w:hAnsi="宋体" w:cs="宋体"/>
                <w:sz w:val="18"/>
                <w:szCs w:val="18"/>
              </w:rPr>
            </w:pPr>
            <w:r w:rsidRPr="000A1D01">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0A1D01" w:rsidRDefault="00A2119D">
            <w:pPr>
              <w:spacing w:before="40" w:after="40" w:line="240" w:lineRule="exact"/>
              <w:jc w:val="center"/>
              <w:rPr>
                <w:rFonts w:ascii="宋体" w:eastAsia="宋体" w:hAnsi="宋体" w:cs="宋体"/>
                <w:sz w:val="18"/>
                <w:szCs w:val="18"/>
              </w:rPr>
            </w:pPr>
            <w:r w:rsidRPr="000A1D01">
              <w:rPr>
                <w:rFonts w:ascii="宋体" w:eastAsia="宋体" w:hAnsi="宋体" w:cs="宋体"/>
                <w:sz w:val="18"/>
                <w:szCs w:val="18"/>
              </w:rPr>
              <w:t>单位</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0A1D01" w:rsidRDefault="00A2119D">
            <w:pPr>
              <w:spacing w:before="40" w:after="40" w:line="240" w:lineRule="exact"/>
              <w:jc w:val="center"/>
              <w:rPr>
                <w:rFonts w:ascii="宋体" w:eastAsia="宋体" w:hAnsi="宋体" w:cs="宋体"/>
                <w:sz w:val="18"/>
                <w:szCs w:val="18"/>
              </w:rPr>
            </w:pPr>
            <w:r w:rsidRPr="000A1D01">
              <w:rPr>
                <w:rFonts w:ascii="宋体" w:eastAsia="宋体" w:hAnsi="宋体" w:cs="宋体"/>
                <w:sz w:val="18"/>
                <w:szCs w:val="18"/>
              </w:rPr>
              <w:t>2024年</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0A1D01" w:rsidRDefault="00A2119D">
            <w:pPr>
              <w:spacing w:before="40" w:after="40" w:line="240" w:lineRule="exact"/>
              <w:jc w:val="center"/>
              <w:rPr>
                <w:rFonts w:ascii="宋体" w:eastAsia="宋体" w:hAnsi="宋体" w:cs="宋体"/>
                <w:sz w:val="18"/>
                <w:szCs w:val="18"/>
              </w:rPr>
            </w:pPr>
            <w:r w:rsidRPr="000A1D01">
              <w:rPr>
                <w:rFonts w:ascii="宋体" w:eastAsia="宋体" w:hAnsi="宋体" w:cs="宋体"/>
                <w:sz w:val="18"/>
                <w:szCs w:val="18"/>
              </w:rPr>
              <w:t>2023年</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0A1D01" w:rsidRDefault="00A2119D">
            <w:pPr>
              <w:spacing w:before="40" w:after="40" w:line="240" w:lineRule="exact"/>
              <w:jc w:val="center"/>
              <w:rPr>
                <w:rFonts w:ascii="宋体" w:eastAsia="宋体" w:hAnsi="宋体" w:cs="宋体"/>
                <w:sz w:val="18"/>
                <w:szCs w:val="18"/>
              </w:rPr>
            </w:pPr>
            <w:r w:rsidRPr="000A1D01">
              <w:rPr>
                <w:rFonts w:ascii="宋体" w:eastAsia="宋体" w:hAnsi="宋体" w:cs="宋体"/>
                <w:sz w:val="18"/>
                <w:szCs w:val="18"/>
              </w:rPr>
              <w:t>同比增减</w:t>
            </w:r>
          </w:p>
        </w:tc>
      </w:tr>
      <w:tr w:rsidR="00A27D66" w:rsidRPr="000A1D01" w:rsidTr="001C4C55">
        <w:trPr>
          <w:trHeight w:val="240"/>
        </w:trPr>
        <w:tc>
          <w:tcPr>
            <w:tcW w:w="1606" w:type="dxa"/>
            <w:vMerge w:val="restart"/>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rPr>
                <w:rFonts w:ascii="宋体" w:eastAsia="宋体" w:hAnsi="宋体" w:cs="宋体"/>
                <w:sz w:val="18"/>
                <w:szCs w:val="18"/>
              </w:rPr>
            </w:pPr>
            <w:r w:rsidRPr="000A1D01">
              <w:rPr>
                <w:rFonts w:ascii="宋体" w:eastAsia="宋体" w:hAnsi="宋体" w:cs="宋体"/>
                <w:sz w:val="18"/>
                <w:szCs w:val="18"/>
              </w:rPr>
              <w:t>制造业</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0A1D01" w:rsidRDefault="00A2119D">
            <w:pPr>
              <w:spacing w:before="40" w:after="40" w:line="240" w:lineRule="exact"/>
              <w:rPr>
                <w:rFonts w:ascii="宋体" w:eastAsia="宋体" w:hAnsi="宋体" w:cs="宋体"/>
                <w:sz w:val="18"/>
                <w:szCs w:val="18"/>
              </w:rPr>
            </w:pPr>
            <w:r w:rsidRPr="000A1D01">
              <w:rPr>
                <w:rFonts w:ascii="宋体" w:eastAsia="宋体" w:hAnsi="宋体" w:cs="宋体"/>
                <w:sz w:val="18"/>
                <w:szCs w:val="18"/>
              </w:rPr>
              <w:t>销售量</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rPr>
                <w:rFonts w:ascii="宋体" w:eastAsia="宋体" w:hAnsi="宋体" w:cs="宋体"/>
                <w:sz w:val="18"/>
                <w:szCs w:val="18"/>
              </w:rPr>
            </w:pPr>
            <w:r w:rsidRPr="000A1D01">
              <w:rPr>
                <w:rFonts w:ascii="宋体" w:eastAsia="宋体" w:hAnsi="宋体" w:cs="宋体"/>
                <w:sz w:val="18"/>
                <w:szCs w:val="18"/>
              </w:rPr>
              <w:t>元</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388,916,169.71</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315,793,802.93</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23.16%</w:t>
            </w:r>
          </w:p>
        </w:tc>
      </w:tr>
      <w:tr w:rsidR="00A27D66" w:rsidRPr="000A1D01" w:rsidTr="001C4C55">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A27D66" w:rsidRPr="000A1D01" w:rsidRDefault="00A27D66">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0A1D01" w:rsidRDefault="00A2119D">
            <w:pPr>
              <w:spacing w:before="40" w:after="40" w:line="240" w:lineRule="exact"/>
              <w:rPr>
                <w:rFonts w:ascii="宋体" w:eastAsia="宋体" w:hAnsi="宋体" w:cs="宋体"/>
                <w:sz w:val="18"/>
                <w:szCs w:val="18"/>
              </w:rPr>
            </w:pPr>
            <w:r w:rsidRPr="000A1D01">
              <w:rPr>
                <w:rFonts w:ascii="宋体" w:eastAsia="宋体" w:hAnsi="宋体" w:cs="宋体"/>
                <w:sz w:val="18"/>
                <w:szCs w:val="18"/>
              </w:rPr>
              <w:t>生产量</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rPr>
                <w:rFonts w:ascii="宋体" w:eastAsia="宋体" w:hAnsi="宋体" w:cs="宋体"/>
                <w:sz w:val="18"/>
                <w:szCs w:val="18"/>
              </w:rPr>
            </w:pPr>
            <w:r w:rsidRPr="000A1D01">
              <w:rPr>
                <w:rFonts w:ascii="宋体" w:eastAsia="宋体" w:hAnsi="宋体" w:cs="宋体"/>
                <w:sz w:val="18"/>
                <w:szCs w:val="18"/>
              </w:rPr>
              <w:t>元</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0A1D01" w:rsidRDefault="005D7A53" w:rsidP="005D7A53">
            <w:pPr>
              <w:spacing w:line="240" w:lineRule="exact"/>
              <w:jc w:val="right"/>
              <w:rPr>
                <w:rFonts w:ascii="宋体" w:eastAsia="宋体" w:hAnsi="宋体" w:cs="宋体"/>
                <w:sz w:val="18"/>
                <w:szCs w:val="18"/>
              </w:rPr>
            </w:pPr>
            <w:r w:rsidRPr="000A1D01">
              <w:rPr>
                <w:rFonts w:ascii="宋体" w:eastAsia="宋体" w:hAnsi="宋体" w:cs="宋体" w:hint="eastAsia"/>
                <w:sz w:val="18"/>
                <w:szCs w:val="18"/>
              </w:rPr>
              <w:t>1</w:t>
            </w:r>
            <w:r w:rsidRPr="000A1D01">
              <w:rPr>
                <w:rFonts w:ascii="宋体" w:eastAsia="宋体" w:hAnsi="宋体" w:cs="宋体"/>
                <w:sz w:val="18"/>
                <w:szCs w:val="18"/>
              </w:rPr>
              <w:t>82</w:t>
            </w:r>
            <w:r w:rsidR="009C2DA0" w:rsidRPr="000A1D01">
              <w:rPr>
                <w:rFonts w:ascii="宋体" w:eastAsia="宋体" w:hAnsi="宋体" w:cs="宋体"/>
                <w:sz w:val="18"/>
                <w:szCs w:val="18"/>
              </w:rPr>
              <w:t>,553,854.56</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142,002,811.19</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0A1D01" w:rsidRDefault="005D7A53">
            <w:pPr>
              <w:spacing w:line="240" w:lineRule="exact"/>
              <w:jc w:val="right"/>
              <w:rPr>
                <w:rFonts w:ascii="宋体" w:eastAsia="宋体" w:hAnsi="宋体" w:cs="宋体"/>
                <w:sz w:val="18"/>
                <w:szCs w:val="18"/>
              </w:rPr>
            </w:pPr>
            <w:r w:rsidRPr="000A1D01">
              <w:rPr>
                <w:rFonts w:ascii="宋体" w:eastAsia="宋体" w:hAnsi="宋体" w:cs="宋体"/>
                <w:sz w:val="18"/>
                <w:szCs w:val="18"/>
              </w:rPr>
              <w:t>28.56%</w:t>
            </w:r>
          </w:p>
        </w:tc>
      </w:tr>
      <w:tr w:rsidR="00A27D66" w:rsidTr="001C4C55">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A27D66" w:rsidRPr="000A1D01" w:rsidRDefault="00A27D66">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0A1D01" w:rsidRDefault="00A2119D">
            <w:pPr>
              <w:spacing w:before="40" w:after="40" w:line="240" w:lineRule="exact"/>
              <w:rPr>
                <w:rFonts w:ascii="宋体" w:eastAsia="宋体" w:hAnsi="宋体" w:cs="宋体"/>
                <w:sz w:val="18"/>
                <w:szCs w:val="18"/>
              </w:rPr>
            </w:pPr>
            <w:r w:rsidRPr="000A1D01">
              <w:rPr>
                <w:rFonts w:ascii="宋体" w:eastAsia="宋体" w:hAnsi="宋体" w:cs="宋体"/>
                <w:sz w:val="18"/>
                <w:szCs w:val="18"/>
              </w:rPr>
              <w:t>库存量</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rPr>
                <w:rFonts w:ascii="宋体" w:eastAsia="宋体" w:hAnsi="宋体" w:cs="宋体"/>
                <w:sz w:val="18"/>
                <w:szCs w:val="18"/>
              </w:rPr>
            </w:pPr>
            <w:r w:rsidRPr="000A1D01">
              <w:rPr>
                <w:rFonts w:ascii="宋体" w:eastAsia="宋体" w:hAnsi="宋体" w:cs="宋体"/>
                <w:sz w:val="18"/>
                <w:szCs w:val="18"/>
              </w:rPr>
              <w:t>元</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70,472,231.06</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56,740,332.02</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24.20%</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相关数据同比发生变动30%以上的原因说明</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keepNext/>
        <w:keepLines/>
        <w:spacing w:before="300" w:after="300" w:line="280" w:lineRule="exact"/>
        <w:outlineLvl w:val="3"/>
        <w:rPr>
          <w:rFonts w:ascii="宋体" w:eastAsia="宋体" w:hAnsi="宋体" w:cs="宋体"/>
          <w:b/>
          <w:bCs/>
          <w:sz w:val="18"/>
          <w:szCs w:val="18"/>
        </w:rPr>
      </w:pPr>
      <w:bookmarkStart w:id="24" w:name="_Toc988912"/>
      <w:r>
        <w:rPr>
          <w:rFonts w:ascii="宋体" w:eastAsia="宋体" w:hAnsi="宋体" w:cs="宋体"/>
          <w:b/>
          <w:bCs/>
          <w:sz w:val="18"/>
          <w:szCs w:val="18"/>
        </w:rPr>
        <w:t>（4） 公司已签订的重大销售合同、重大采购合同截至本报告期的履行情况</w:t>
      </w:r>
      <w:bookmarkEnd w:id="24"/>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keepNext/>
        <w:keepLines/>
        <w:spacing w:before="300" w:after="300" w:line="280" w:lineRule="exact"/>
        <w:outlineLvl w:val="3"/>
        <w:rPr>
          <w:rFonts w:ascii="宋体" w:eastAsia="宋体" w:hAnsi="宋体" w:cs="宋体"/>
          <w:b/>
          <w:bCs/>
          <w:sz w:val="18"/>
          <w:szCs w:val="18"/>
        </w:rPr>
      </w:pPr>
      <w:bookmarkStart w:id="25" w:name="_Toc988913"/>
      <w:r>
        <w:rPr>
          <w:rFonts w:ascii="宋体" w:eastAsia="宋体" w:hAnsi="宋体" w:cs="宋体"/>
          <w:b/>
          <w:bCs/>
          <w:sz w:val="18"/>
          <w:szCs w:val="18"/>
        </w:rPr>
        <w:t>（5） 营业成本构成</w:t>
      </w:r>
      <w:bookmarkEnd w:id="25"/>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行业分类</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499"/>
        <w:gridCol w:w="1255"/>
        <w:gridCol w:w="1580"/>
        <w:gridCol w:w="1174"/>
        <w:gridCol w:w="1377"/>
      </w:tblGrid>
      <w:tr w:rsidR="00A27D66">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行业分类</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A27D66" w:rsidTr="001C4C55">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49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25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占营业成本比重</w:t>
            </w:r>
          </w:p>
        </w:tc>
        <w:tc>
          <w:tcPr>
            <w:tcW w:w="158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17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占营业成本比重</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953733" w:rsidTr="001C4C55">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rPr>
                <w:rFonts w:ascii="宋体" w:eastAsia="宋体" w:hAnsi="宋体" w:cs="宋体"/>
                <w:sz w:val="18"/>
                <w:szCs w:val="18"/>
              </w:rPr>
            </w:pPr>
            <w:r>
              <w:rPr>
                <w:rFonts w:ascii="宋体" w:eastAsia="宋体" w:hAnsi="宋体" w:cs="宋体"/>
                <w:sz w:val="18"/>
                <w:szCs w:val="18"/>
              </w:rPr>
              <w:t>制造业</w:t>
            </w:r>
          </w:p>
        </w:tc>
        <w:tc>
          <w:tcPr>
            <w:tcW w:w="1377"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rPr>
                <w:rFonts w:ascii="宋体" w:eastAsia="宋体" w:hAnsi="宋体" w:cs="宋体"/>
                <w:sz w:val="18"/>
                <w:szCs w:val="18"/>
              </w:rPr>
            </w:pPr>
            <w:r>
              <w:rPr>
                <w:rFonts w:ascii="宋体" w:eastAsia="宋体" w:hAnsi="宋体" w:cs="宋体"/>
                <w:sz w:val="18"/>
                <w:szCs w:val="18"/>
              </w:rPr>
              <w:t>原材料</w:t>
            </w:r>
          </w:p>
        </w:tc>
        <w:tc>
          <w:tcPr>
            <w:tcW w:w="1499"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sidRPr="00B0620F">
              <w:rPr>
                <w:rFonts w:ascii="宋体" w:eastAsia="宋体" w:hAnsi="宋体" w:cs="宋体"/>
                <w:sz w:val="18"/>
                <w:szCs w:val="18"/>
              </w:rPr>
              <w:t>136,319,309.25</w:t>
            </w:r>
          </w:p>
        </w:tc>
        <w:tc>
          <w:tcPr>
            <w:tcW w:w="1255"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sidRPr="00B0620F">
              <w:rPr>
                <w:rFonts w:ascii="宋体" w:eastAsia="宋体" w:hAnsi="宋体" w:cs="宋体"/>
                <w:sz w:val="18"/>
                <w:szCs w:val="18"/>
              </w:rPr>
              <w:t>72.68%</w:t>
            </w:r>
          </w:p>
        </w:tc>
        <w:tc>
          <w:tcPr>
            <w:tcW w:w="1580"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116,759,569.29</w:t>
            </w:r>
          </w:p>
        </w:tc>
        <w:tc>
          <w:tcPr>
            <w:tcW w:w="1174"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74.92%</w:t>
            </w:r>
          </w:p>
        </w:tc>
        <w:tc>
          <w:tcPr>
            <w:tcW w:w="1377"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19.82%</w:t>
            </w:r>
          </w:p>
        </w:tc>
      </w:tr>
      <w:tr w:rsidR="00953733" w:rsidTr="001C4C55">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rPr>
                <w:rFonts w:ascii="宋体" w:eastAsia="宋体" w:hAnsi="宋体" w:cs="宋体"/>
                <w:sz w:val="18"/>
                <w:szCs w:val="18"/>
              </w:rPr>
            </w:pPr>
            <w:r>
              <w:rPr>
                <w:rFonts w:ascii="宋体" w:eastAsia="宋体" w:hAnsi="宋体" w:cs="宋体"/>
                <w:sz w:val="18"/>
                <w:szCs w:val="18"/>
              </w:rPr>
              <w:t>制造业</w:t>
            </w:r>
          </w:p>
        </w:tc>
        <w:tc>
          <w:tcPr>
            <w:tcW w:w="1377"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rPr>
                <w:rFonts w:ascii="宋体" w:eastAsia="宋体" w:hAnsi="宋体" w:cs="宋体"/>
                <w:sz w:val="18"/>
                <w:szCs w:val="18"/>
              </w:rPr>
            </w:pPr>
            <w:r>
              <w:rPr>
                <w:rFonts w:ascii="宋体" w:eastAsia="宋体" w:hAnsi="宋体" w:cs="宋体"/>
                <w:sz w:val="18"/>
                <w:szCs w:val="18"/>
              </w:rPr>
              <w:t>制造费用</w:t>
            </w:r>
          </w:p>
        </w:tc>
        <w:tc>
          <w:tcPr>
            <w:tcW w:w="1499"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sidRPr="00B0620F">
              <w:rPr>
                <w:rFonts w:ascii="宋体" w:eastAsia="宋体" w:hAnsi="宋体" w:cs="宋体"/>
                <w:sz w:val="18"/>
                <w:szCs w:val="18"/>
              </w:rPr>
              <w:t>32,809,312.53</w:t>
            </w:r>
          </w:p>
        </w:tc>
        <w:tc>
          <w:tcPr>
            <w:tcW w:w="1255"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sidRPr="00B0620F">
              <w:rPr>
                <w:rFonts w:ascii="宋体" w:eastAsia="宋体" w:hAnsi="宋体" w:cs="宋体"/>
                <w:sz w:val="18"/>
                <w:szCs w:val="18"/>
              </w:rPr>
              <w:t>17.49%</w:t>
            </w:r>
          </w:p>
        </w:tc>
        <w:tc>
          <w:tcPr>
            <w:tcW w:w="1580"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26,114,691.60</w:t>
            </w:r>
          </w:p>
        </w:tc>
        <w:tc>
          <w:tcPr>
            <w:tcW w:w="1174"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16.76%</w:t>
            </w:r>
          </w:p>
        </w:tc>
        <w:tc>
          <w:tcPr>
            <w:tcW w:w="1377"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17.11%</w:t>
            </w:r>
          </w:p>
        </w:tc>
      </w:tr>
      <w:tr w:rsidR="00953733" w:rsidTr="001C4C55">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rPr>
                <w:rFonts w:ascii="宋体" w:eastAsia="宋体" w:hAnsi="宋体" w:cs="宋体"/>
                <w:sz w:val="18"/>
                <w:szCs w:val="18"/>
              </w:rPr>
            </w:pPr>
            <w:r>
              <w:rPr>
                <w:rFonts w:ascii="宋体" w:eastAsia="宋体" w:hAnsi="宋体" w:cs="宋体"/>
                <w:sz w:val="18"/>
                <w:szCs w:val="18"/>
              </w:rPr>
              <w:t>制造业</w:t>
            </w:r>
          </w:p>
        </w:tc>
        <w:tc>
          <w:tcPr>
            <w:tcW w:w="1377"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rPr>
                <w:rFonts w:ascii="宋体" w:eastAsia="宋体" w:hAnsi="宋体" w:cs="宋体"/>
                <w:sz w:val="18"/>
                <w:szCs w:val="18"/>
              </w:rPr>
            </w:pPr>
            <w:r>
              <w:rPr>
                <w:rFonts w:ascii="宋体" w:eastAsia="宋体" w:hAnsi="宋体" w:cs="宋体"/>
                <w:sz w:val="18"/>
                <w:szCs w:val="18"/>
              </w:rPr>
              <w:t>人工工资</w:t>
            </w:r>
          </w:p>
        </w:tc>
        <w:tc>
          <w:tcPr>
            <w:tcW w:w="1499"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sidRPr="00B0620F">
              <w:rPr>
                <w:rFonts w:ascii="宋体" w:eastAsia="宋体" w:hAnsi="宋体" w:cs="宋体"/>
                <w:sz w:val="18"/>
                <w:szCs w:val="18"/>
              </w:rPr>
              <w:t>8,996,877.77</w:t>
            </w:r>
          </w:p>
        </w:tc>
        <w:tc>
          <w:tcPr>
            <w:tcW w:w="1255"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sidRPr="00B0620F">
              <w:rPr>
                <w:rFonts w:ascii="宋体" w:eastAsia="宋体" w:hAnsi="宋体" w:cs="宋体"/>
                <w:sz w:val="18"/>
                <w:szCs w:val="18"/>
              </w:rPr>
              <w:t>4.80%</w:t>
            </w:r>
          </w:p>
        </w:tc>
        <w:tc>
          <w:tcPr>
            <w:tcW w:w="1580"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9,340,071.43</w:t>
            </w:r>
          </w:p>
        </w:tc>
        <w:tc>
          <w:tcPr>
            <w:tcW w:w="1174"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5.99%</w:t>
            </w:r>
          </w:p>
        </w:tc>
        <w:tc>
          <w:tcPr>
            <w:tcW w:w="1377"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-18.21%</w:t>
            </w:r>
          </w:p>
        </w:tc>
      </w:tr>
      <w:tr w:rsidR="00953733" w:rsidTr="001C4C55">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rPr>
                <w:rFonts w:ascii="宋体" w:eastAsia="宋体" w:hAnsi="宋体" w:cs="宋体"/>
                <w:sz w:val="18"/>
                <w:szCs w:val="18"/>
              </w:rPr>
            </w:pPr>
          </w:p>
        </w:tc>
        <w:tc>
          <w:tcPr>
            <w:tcW w:w="1499"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9,440,912.41</w:t>
            </w:r>
          </w:p>
        </w:tc>
        <w:tc>
          <w:tcPr>
            <w:tcW w:w="1255"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sidRPr="00B0620F">
              <w:rPr>
                <w:rFonts w:ascii="宋体" w:eastAsia="宋体" w:hAnsi="宋体" w:cs="宋体"/>
                <w:sz w:val="18"/>
                <w:szCs w:val="18"/>
              </w:rPr>
              <w:t>5.03%</w:t>
            </w:r>
          </w:p>
        </w:tc>
        <w:tc>
          <w:tcPr>
            <w:tcW w:w="1580"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3,638,157.12</w:t>
            </w:r>
          </w:p>
        </w:tc>
        <w:tc>
          <w:tcPr>
            <w:tcW w:w="1174"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2.33%</w:t>
            </w:r>
          </w:p>
        </w:tc>
        <w:tc>
          <w:tcPr>
            <w:tcW w:w="1377"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159.50%</w:t>
            </w:r>
          </w:p>
        </w:tc>
      </w:tr>
    </w:tbl>
    <w:p w:rsidR="00A27D66" w:rsidRDefault="00A2119D">
      <w:pPr>
        <w:keepNext/>
        <w:keepLines/>
        <w:spacing w:before="300" w:after="300" w:line="280" w:lineRule="exact"/>
        <w:outlineLvl w:val="3"/>
        <w:rPr>
          <w:rFonts w:ascii="宋体" w:eastAsia="宋体" w:hAnsi="宋体" w:cs="宋体"/>
          <w:b/>
          <w:bCs/>
          <w:sz w:val="18"/>
          <w:szCs w:val="18"/>
        </w:rPr>
      </w:pPr>
      <w:bookmarkStart w:id="26" w:name="_Toc988914"/>
      <w:r>
        <w:rPr>
          <w:rFonts w:ascii="宋体" w:eastAsia="宋体" w:hAnsi="宋体" w:cs="宋体"/>
          <w:b/>
          <w:bCs/>
          <w:sz w:val="18"/>
          <w:szCs w:val="18"/>
        </w:rPr>
        <w:t>（6） 报告期内合并范围是否发生变动</w:t>
      </w:r>
      <w:bookmarkEnd w:id="26"/>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A2119D" w:rsidRPr="00CB5CA2" w:rsidRDefault="00A2119D" w:rsidP="00CB5CA2">
      <w:pPr>
        <w:spacing w:before="100" w:after="100" w:line="240" w:lineRule="exact"/>
        <w:divId w:val="1085609989"/>
        <w:rPr>
          <w:rFonts w:ascii="宋体" w:eastAsia="宋体" w:hAnsi="宋体" w:cs="宋体"/>
          <w:sz w:val="18"/>
          <w:szCs w:val="18"/>
        </w:rPr>
      </w:pPr>
      <w:r w:rsidRPr="00CB5CA2">
        <w:rPr>
          <w:rFonts w:ascii="宋体" w:eastAsia="宋体" w:hAnsi="宋体" w:cs="宋体" w:hint="eastAsia"/>
          <w:sz w:val="18"/>
          <w:szCs w:val="18"/>
        </w:rPr>
        <w:t>本期增加合并单位：聚能合源</w:t>
      </w:r>
    </w:p>
    <w:p w:rsidR="00A2119D" w:rsidRPr="00206303" w:rsidRDefault="00A2119D" w:rsidP="006100F3">
      <w:pPr>
        <w:spacing w:before="100" w:after="100" w:line="240" w:lineRule="exact"/>
        <w:jc w:val="both"/>
        <w:divId w:val="1970477493"/>
        <w:rPr>
          <w:rFonts w:ascii="宋体" w:eastAsia="宋体" w:hAnsi="宋体" w:cs="宋体"/>
          <w:sz w:val="18"/>
          <w:szCs w:val="18"/>
        </w:rPr>
      </w:pPr>
      <w:r w:rsidRPr="00206303">
        <w:rPr>
          <w:rFonts w:ascii="宋体" w:eastAsia="宋体" w:hAnsi="宋体" w:cs="宋体" w:hint="eastAsia"/>
          <w:sz w:val="18"/>
          <w:szCs w:val="18"/>
        </w:rPr>
        <w:t>升华电源本期通过收购股权方式取得北京聚能合源科技有限公司100%股权，于2024年1月完成工商变更，本期纳入合并报表范围。</w:t>
      </w:r>
    </w:p>
    <w:p w:rsidR="00A2119D" w:rsidRPr="00206303" w:rsidRDefault="00A2119D" w:rsidP="00CB5CA2">
      <w:pPr>
        <w:spacing w:before="100" w:after="100" w:line="240" w:lineRule="exact"/>
        <w:divId w:val="852769341"/>
        <w:rPr>
          <w:rFonts w:ascii="宋体" w:eastAsia="宋体" w:hAnsi="宋体" w:cs="宋体"/>
          <w:sz w:val="18"/>
          <w:szCs w:val="18"/>
        </w:rPr>
      </w:pPr>
      <w:r w:rsidRPr="00206303">
        <w:rPr>
          <w:rFonts w:ascii="宋体" w:eastAsia="宋体" w:hAnsi="宋体" w:cs="宋体" w:hint="eastAsia"/>
          <w:sz w:val="18"/>
          <w:szCs w:val="18"/>
        </w:rPr>
        <w:t>本期减少合并单位：</w:t>
      </w:r>
      <w:proofErr w:type="gramStart"/>
      <w:r w:rsidRPr="00206303">
        <w:rPr>
          <w:rFonts w:ascii="宋体" w:eastAsia="宋体" w:hAnsi="宋体" w:cs="宋体" w:hint="eastAsia"/>
          <w:sz w:val="18"/>
          <w:szCs w:val="18"/>
        </w:rPr>
        <w:t>德芯源</w:t>
      </w:r>
      <w:proofErr w:type="gramEnd"/>
    </w:p>
    <w:p w:rsidR="00A2119D" w:rsidRPr="00CB5CA2" w:rsidRDefault="00A2119D" w:rsidP="006100F3">
      <w:pPr>
        <w:spacing w:before="100" w:after="100" w:line="240" w:lineRule="exact"/>
        <w:jc w:val="both"/>
        <w:divId w:val="1123647130"/>
        <w:rPr>
          <w:rFonts w:ascii="宋体" w:eastAsia="宋体" w:hAnsi="宋体" w:cs="宋体"/>
          <w:sz w:val="18"/>
          <w:szCs w:val="18"/>
        </w:rPr>
      </w:pPr>
      <w:r w:rsidRPr="00206303">
        <w:rPr>
          <w:rFonts w:ascii="宋体" w:eastAsia="宋体" w:hAnsi="宋体" w:cs="宋体" w:hint="eastAsia"/>
          <w:sz w:val="18"/>
          <w:szCs w:val="18"/>
        </w:rPr>
        <w:t>升华电源本期通过出售股权方式处置子公司四川德芯源电子科技有限公司全部股权，自2024年7月起不纳入合并范围。</w:t>
      </w:r>
      <w:r w:rsidRPr="00CB5CA2">
        <w:rPr>
          <w:rFonts w:ascii="宋体" w:eastAsia="宋体" w:hAnsi="宋体" w:cs="宋体" w:hint="eastAsia"/>
          <w:sz w:val="18"/>
          <w:szCs w:val="18"/>
        </w:rPr>
        <w:t> </w:t>
      </w:r>
    </w:p>
    <w:p w:rsidR="00A27D66" w:rsidRDefault="00A2119D">
      <w:pPr>
        <w:keepNext/>
        <w:keepLines/>
        <w:spacing w:before="300" w:after="300" w:line="280" w:lineRule="exact"/>
        <w:outlineLvl w:val="3"/>
        <w:rPr>
          <w:rFonts w:ascii="宋体" w:eastAsia="宋体" w:hAnsi="宋体" w:cs="宋体"/>
          <w:b/>
          <w:bCs/>
          <w:sz w:val="18"/>
          <w:szCs w:val="18"/>
        </w:rPr>
      </w:pPr>
      <w:bookmarkStart w:id="27" w:name="_Toc988915"/>
      <w:r>
        <w:rPr>
          <w:rFonts w:ascii="宋体" w:eastAsia="宋体" w:hAnsi="宋体" w:cs="宋体"/>
          <w:b/>
          <w:bCs/>
          <w:sz w:val="18"/>
          <w:szCs w:val="18"/>
        </w:rPr>
        <w:t>（7） 公司报告期内业务、产品或服务发生重大变化或调整有关情况</w:t>
      </w:r>
      <w:bookmarkEnd w:id="27"/>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keepNext/>
        <w:keepLines/>
        <w:spacing w:before="300" w:after="300" w:line="280" w:lineRule="exact"/>
        <w:outlineLvl w:val="3"/>
        <w:rPr>
          <w:rFonts w:ascii="宋体" w:eastAsia="宋体" w:hAnsi="宋体" w:cs="宋体"/>
          <w:b/>
          <w:bCs/>
          <w:sz w:val="18"/>
          <w:szCs w:val="18"/>
        </w:rPr>
      </w:pPr>
      <w:bookmarkStart w:id="28" w:name="_Toc988916"/>
      <w:r>
        <w:rPr>
          <w:rFonts w:ascii="宋体" w:eastAsia="宋体" w:hAnsi="宋体" w:cs="宋体"/>
          <w:b/>
          <w:bCs/>
          <w:sz w:val="18"/>
          <w:szCs w:val="18"/>
        </w:rPr>
        <w:t>（8） 主要销售客户和主要供应商情况</w:t>
      </w:r>
      <w:bookmarkEnd w:id="28"/>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公司主要销售客户情况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前五名客户合计销售金额（元）</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260,015,199.91</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前五名客户合计销售金额占年度销售总额比例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65.61%</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前五名客户销售额中关联方销售额占年度销售总额比例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公司前5大客户资料</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客户名称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销售额（元）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占年度销售总额比例</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第一名</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100,364,303.55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25.33%</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第二名</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66,604,222.08</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16.81%</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第三名</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46,532,128.31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11.74%</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第四名</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27,358,340.70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6.90%</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第五名</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19,156,205.27</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4.83%</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260,015,199.91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65.61%</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主要客户其他情况说明</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公司主要供应商情况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前五名供应商合计采购金额（元）</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113,028,126.01</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前五名供应商合计采购金额占年度采购总额比例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55.85%</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前五名供应商采购额中关联方采购额占年度采购总额比例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公司前5名供应商资料</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序号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供应商名称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采购额（元）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占年度采购总额比例</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第一名</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56,016,637.17</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27.68%</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第二名</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27,922,144.68</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13.80%</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第三名</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10,357,327.43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5.12%</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第四名</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9,842,080.47</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4.86%</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第五名</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8,889,936.26</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4.39%</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113,028,126.01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55.85%</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主要供应</w:t>
      </w:r>
      <w:proofErr w:type="gramStart"/>
      <w:r>
        <w:rPr>
          <w:rFonts w:ascii="宋体" w:eastAsia="宋体" w:hAnsi="宋体" w:cs="宋体"/>
          <w:sz w:val="18"/>
          <w:szCs w:val="18"/>
        </w:rPr>
        <w:t>商其他</w:t>
      </w:r>
      <w:proofErr w:type="gramEnd"/>
      <w:r>
        <w:rPr>
          <w:rFonts w:ascii="宋体" w:eastAsia="宋体" w:hAnsi="宋体" w:cs="宋体"/>
          <w:sz w:val="18"/>
          <w:szCs w:val="18"/>
        </w:rPr>
        <w:t>情况说明</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29" w:name="_Toc988917"/>
      <w:r>
        <w:rPr>
          <w:rFonts w:ascii="宋体" w:hAnsi="宋体" w:cs="宋体"/>
          <w:b/>
          <w:bCs/>
        </w:rPr>
        <w:t>3、费用</w:t>
      </w:r>
      <w:bookmarkEnd w:id="29"/>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销售费用</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23,038,990.91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28,119,402.16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-18.07%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095FD6">
            <w:pPr>
              <w:spacing w:line="240" w:lineRule="exact"/>
              <w:rPr>
                <w:rFonts w:ascii="宋体" w:eastAsia="宋体" w:hAnsi="宋体" w:cs="宋体"/>
                <w:sz w:val="18"/>
                <w:szCs w:val="18"/>
              </w:rPr>
            </w:pPr>
            <w:r w:rsidRPr="000A1D01">
              <w:rPr>
                <w:rFonts w:ascii="宋体" w:eastAsia="宋体" w:hAnsi="宋体" w:cs="宋体" w:hint="eastAsia"/>
                <w:sz w:val="18"/>
                <w:szCs w:val="18"/>
              </w:rPr>
              <w:t>业务推广费用减少</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管理费用</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953733">
            <w:pPr>
              <w:spacing w:line="240" w:lineRule="exact"/>
              <w:jc w:val="right"/>
              <w:rPr>
                <w:rFonts w:ascii="宋体" w:eastAsia="宋体" w:hAnsi="宋体" w:cs="宋体"/>
                <w:sz w:val="18"/>
                <w:szCs w:val="18"/>
              </w:rPr>
            </w:pPr>
            <w:r w:rsidRPr="00604867">
              <w:rPr>
                <w:rFonts w:ascii="宋体" w:eastAsia="宋体" w:hAnsi="宋体" w:cs="宋体"/>
                <w:sz w:val="18"/>
                <w:szCs w:val="18"/>
              </w:rPr>
              <w:t>60</w:t>
            </w:r>
            <w:r>
              <w:rPr>
                <w:rFonts w:ascii="宋体" w:eastAsia="宋体" w:hAnsi="宋体" w:cs="宋体"/>
                <w:sz w:val="18"/>
                <w:szCs w:val="18"/>
              </w:rPr>
              <w:t>,</w:t>
            </w:r>
            <w:r w:rsidRPr="00604867">
              <w:rPr>
                <w:rFonts w:ascii="宋体" w:eastAsia="宋体" w:hAnsi="宋体" w:cs="宋体"/>
                <w:sz w:val="18"/>
                <w:szCs w:val="18"/>
              </w:rPr>
              <w:t>468</w:t>
            </w:r>
            <w:r>
              <w:rPr>
                <w:rFonts w:ascii="宋体" w:eastAsia="宋体" w:hAnsi="宋体" w:cs="宋体"/>
                <w:sz w:val="18"/>
                <w:szCs w:val="18"/>
              </w:rPr>
              <w:t>,</w:t>
            </w:r>
            <w:r w:rsidRPr="00604867">
              <w:rPr>
                <w:rFonts w:ascii="宋体" w:eastAsia="宋体" w:hAnsi="宋体" w:cs="宋体"/>
                <w:sz w:val="18"/>
                <w:szCs w:val="18"/>
              </w:rPr>
              <w:t>955.07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57,003,175.36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rsidP="00604867">
            <w:pPr>
              <w:spacing w:line="240" w:lineRule="exact"/>
              <w:jc w:val="right"/>
              <w:rPr>
                <w:rFonts w:ascii="宋体" w:eastAsia="宋体" w:hAnsi="宋体" w:cs="宋体"/>
                <w:sz w:val="18"/>
                <w:szCs w:val="18"/>
              </w:rPr>
            </w:pPr>
            <w:r w:rsidRPr="000A1D01">
              <w:rPr>
                <w:rFonts w:ascii="宋体" w:eastAsia="宋体" w:hAnsi="宋体" w:cs="宋体"/>
                <w:sz w:val="18"/>
                <w:szCs w:val="18"/>
              </w:rPr>
              <w:t>6.</w:t>
            </w:r>
            <w:r w:rsidR="00604867">
              <w:rPr>
                <w:rFonts w:ascii="宋体" w:eastAsia="宋体" w:hAnsi="宋体" w:cs="宋体"/>
                <w:sz w:val="18"/>
                <w:szCs w:val="18"/>
              </w:rPr>
              <w:t>0</w:t>
            </w:r>
            <w:r w:rsidR="00604867" w:rsidRPr="000A1D01">
              <w:rPr>
                <w:rFonts w:ascii="宋体" w:eastAsia="宋体" w:hAnsi="宋体" w:cs="宋体"/>
                <w:sz w:val="18"/>
                <w:szCs w:val="18"/>
              </w:rPr>
              <w:t>8</w:t>
            </w:r>
            <w:r w:rsidRPr="000A1D01">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A27D66">
            <w:pPr>
              <w:spacing w:line="240" w:lineRule="exact"/>
              <w:rPr>
                <w:rFonts w:ascii="宋体" w:eastAsia="宋体" w:hAnsi="宋体" w:cs="宋体"/>
                <w:sz w:val="18"/>
                <w:szCs w:val="18"/>
              </w:rPr>
            </w:pP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-41,882.18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526,671.61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-107.95%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095FD6">
            <w:pPr>
              <w:spacing w:line="240" w:lineRule="exact"/>
              <w:rPr>
                <w:rFonts w:ascii="宋体" w:eastAsia="宋体" w:hAnsi="宋体" w:cs="宋体"/>
                <w:sz w:val="18"/>
                <w:szCs w:val="18"/>
              </w:rPr>
            </w:pPr>
            <w:r w:rsidRPr="000A1D01">
              <w:rPr>
                <w:rFonts w:ascii="宋体" w:eastAsia="宋体" w:hAnsi="宋体" w:cs="宋体" w:hint="eastAsia"/>
                <w:sz w:val="18"/>
                <w:szCs w:val="18"/>
              </w:rPr>
              <w:t>利息收入增加</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研发费用</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95,082,549.45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94,494,116.95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0.62%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Pr="000A1D01" w:rsidRDefault="00A27D66">
            <w:pPr>
              <w:spacing w:line="240" w:lineRule="exact"/>
              <w:rPr>
                <w:rFonts w:ascii="宋体" w:eastAsia="宋体" w:hAnsi="宋体" w:cs="宋体"/>
                <w:sz w:val="18"/>
                <w:szCs w:val="18"/>
              </w:rPr>
            </w:pPr>
          </w:p>
        </w:tc>
      </w:tr>
    </w:tbl>
    <w:p w:rsidR="00A27D66" w:rsidRDefault="00A2119D">
      <w:pPr>
        <w:pStyle w:val="3"/>
        <w:spacing w:line="280" w:lineRule="exact"/>
        <w:jc w:val="left"/>
        <w:rPr>
          <w:rFonts w:ascii="宋体" w:hAnsi="宋体" w:cs="宋体"/>
          <w:b/>
          <w:bCs/>
        </w:rPr>
      </w:pPr>
      <w:bookmarkStart w:id="30" w:name="_Toc988918"/>
      <w:r>
        <w:rPr>
          <w:rFonts w:ascii="宋体" w:hAnsi="宋体" w:cs="宋体"/>
          <w:b/>
          <w:bCs/>
        </w:rPr>
        <w:t>4、研发投入</w:t>
      </w:r>
      <w:bookmarkEnd w:id="30"/>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主要研发项目名称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项目目的</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项目进展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拟达到的目标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预计对公司未来发展的影响</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丰富公司产品线</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已批产</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固化产品状态</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使用范围广，可成为公司主力产品</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丰富公司产品线</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小批验证</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大范围推广</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使用范围广，可成为公司主力产品</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产品需求量大，价值高</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已经生产定型</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产品技术状态已经确定</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未来研发、生产及销售存在不确定性</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产品需求量大，价值高</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已经生产定型</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产品技术状态已经确定</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未来研发、生产及销售存在不确定性</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产品需求量大，丰富公司产品线</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小批验证</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大范围推广</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大范围推广使用范围广，可成为公司主力产品</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产品需求量大，价值高</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小批验证</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固化产品状态</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使用范围广，可成为公司主力产品</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产品需求量大，价值高</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样机阶段</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功能和性能待验证</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未来研发、生产及销售存在不确定性</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产品需求量大，价值高</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样机阶段</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功能和性能待验证</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未来研发、生产及销售存在不确定性</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产品需求量大，价值高</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样机阶段</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功能和性能待验证</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未来研发、生产及销售存在不确定性</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JG10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跟踪总体单位科研产品</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方案阶段</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产品符合要求，按期交付</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定型批产后，大幅度增加产值</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JG11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跟踪总体单位科研产品</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方案阶段</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产品符合要求，按期交付</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定型批产后，大幅度增加产值</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JG12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民用定型产品</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生产定型</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提高产品性能</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能够拓展新的用户</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JG13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新产品</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生产定型</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产品符合要求，按期交付</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拓展了新型产品</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JG14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满足行业对产品要</w:t>
            </w:r>
            <w:r>
              <w:rPr>
                <w:rFonts w:ascii="宋体" w:eastAsia="宋体" w:hAnsi="宋体" w:cs="宋体"/>
                <w:sz w:val="18"/>
                <w:szCs w:val="18"/>
              </w:rPr>
              <w:lastRenderedPageBreak/>
              <w:t>求，降低产品成本，提高技术创新竞争力</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技术优化，应用推进</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实现批量生产，并推</w:t>
            </w:r>
            <w:r>
              <w:rPr>
                <w:rFonts w:ascii="宋体" w:eastAsia="宋体" w:hAnsi="宋体" w:cs="宋体"/>
                <w:sz w:val="18"/>
                <w:szCs w:val="18"/>
              </w:rPr>
              <w:lastRenderedPageBreak/>
              <w:t>进应用</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已成为公司主力产品</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JG15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提高产品多元性</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应用转化</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实现批量生产，并推进应用</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有望成为公司主力产品</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JG16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满足行业需求，增加公司产品种类，提高产品和市场竞争力。</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技术优化，应用推进</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实现批量生产，并推进应用</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有望成为公司主力产品</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公司研发人员情况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变动比例</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研发人员数量（人）</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179</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0.56%</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研发人员数量占比</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41.28%</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39.43%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1.85%</w:t>
            </w:r>
          </w:p>
        </w:tc>
      </w:tr>
      <w:tr w:rsidR="00A27D66">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研发人员学历结构</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本科</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-2.15%</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硕士</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-14.26%</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77</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72</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6.94%</w:t>
            </w:r>
          </w:p>
        </w:tc>
      </w:tr>
      <w:tr w:rsidR="00A27D66">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研发人员年龄构成</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30岁以下</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107</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-26.17%</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30~40岁</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72</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26.32%</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93.33%</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公司研发投入情况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变动比例</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研发投入金额（元）</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95,082,549.45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94,494,116.95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0.62%</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研发投入占营业收入比例</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23.99%</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29.23%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-5.24%</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研发投入资本化的金额（元）</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资本化研发投入占研发投入的比例</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公司研发人员构成发生重大变化的原因及影响</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研发投入总额占营业收入的比重较上年发生显著变化的原因</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研发投入资本化率大幅变动的原因及其合理性说明</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31" w:name="_Toc988919"/>
      <w:r>
        <w:rPr>
          <w:rFonts w:ascii="宋体" w:hAnsi="宋体" w:cs="宋体"/>
          <w:b/>
          <w:bCs/>
        </w:rPr>
        <w:t>5、现金流</w:t>
      </w:r>
      <w:bookmarkEnd w:id="31"/>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379,562,753.43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452,973,293.21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-16.21%</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240AB0">
            <w:pPr>
              <w:spacing w:line="240" w:lineRule="exact"/>
              <w:jc w:val="right"/>
              <w:rPr>
                <w:rFonts w:ascii="宋体" w:eastAsia="宋体" w:hAnsi="宋体" w:cs="宋体"/>
                <w:sz w:val="18"/>
                <w:szCs w:val="18"/>
              </w:rPr>
            </w:pPr>
            <w:r w:rsidRPr="00240AB0">
              <w:rPr>
                <w:rFonts w:ascii="宋体" w:eastAsia="宋体" w:hAnsi="宋体" w:cs="宋体"/>
                <w:sz w:val="18"/>
                <w:szCs w:val="18"/>
              </w:rPr>
              <w:t>435,392,938.81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410,349,160.84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240AB0">
            <w:pPr>
              <w:spacing w:line="240" w:lineRule="exact"/>
              <w:jc w:val="right"/>
              <w:rPr>
                <w:rFonts w:ascii="宋体" w:eastAsia="宋体" w:hAnsi="宋体" w:cs="宋体"/>
                <w:sz w:val="18"/>
                <w:szCs w:val="18"/>
              </w:rPr>
            </w:pPr>
            <w:r w:rsidRPr="00240AB0">
              <w:rPr>
                <w:rFonts w:ascii="宋体" w:eastAsia="宋体" w:hAnsi="宋体" w:cs="宋体"/>
                <w:sz w:val="18"/>
                <w:szCs w:val="18"/>
              </w:rPr>
              <w:t>6.10%</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240AB0">
            <w:pPr>
              <w:spacing w:line="240" w:lineRule="exact"/>
              <w:jc w:val="right"/>
              <w:rPr>
                <w:rFonts w:ascii="宋体" w:eastAsia="宋体" w:hAnsi="宋体" w:cs="宋体"/>
                <w:sz w:val="18"/>
                <w:szCs w:val="18"/>
              </w:rPr>
            </w:pPr>
            <w:r w:rsidRPr="00240AB0">
              <w:rPr>
                <w:rFonts w:ascii="宋体" w:eastAsia="宋体" w:hAnsi="宋体" w:cs="宋体"/>
                <w:sz w:val="18"/>
                <w:szCs w:val="18"/>
              </w:rPr>
              <w:t>-55,830,185.38</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42,624,132.37</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240AB0">
            <w:pPr>
              <w:spacing w:line="240" w:lineRule="exact"/>
              <w:jc w:val="right"/>
              <w:rPr>
                <w:rFonts w:ascii="宋体" w:eastAsia="宋体" w:hAnsi="宋体" w:cs="宋体"/>
                <w:sz w:val="18"/>
                <w:szCs w:val="18"/>
              </w:rPr>
            </w:pPr>
            <w:r w:rsidRPr="00240AB0">
              <w:rPr>
                <w:rFonts w:ascii="宋体" w:eastAsia="宋体" w:hAnsi="宋体" w:cs="宋体"/>
                <w:sz w:val="18"/>
                <w:szCs w:val="18"/>
              </w:rPr>
              <w:t>-230.98%</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1,200,766,416.91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1,314,361,662.20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-8.64%</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1,281,574,719.28</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1,237,558,062.96</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3.56%</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投资活动产生的现金流量净</w:t>
            </w:r>
            <w:r>
              <w:rPr>
                <w:rFonts w:ascii="宋体" w:eastAsia="宋体" w:hAnsi="宋体" w:cs="宋体"/>
                <w:sz w:val="18"/>
                <w:szCs w:val="18"/>
              </w:rPr>
              <w:lastRenderedPageBreak/>
              <w:t>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lastRenderedPageBreak/>
              <w:t>-80,808,302.37</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76,803,599.24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-205.21%</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筹资活动现金流入小计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12,310,000.00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240AB0">
            <w:pPr>
              <w:spacing w:line="240" w:lineRule="exact"/>
              <w:jc w:val="right"/>
              <w:rPr>
                <w:rFonts w:ascii="宋体" w:eastAsia="宋体" w:hAnsi="宋体" w:cs="宋体"/>
                <w:sz w:val="18"/>
                <w:szCs w:val="18"/>
              </w:rPr>
            </w:pPr>
            <w:r w:rsidRPr="00240AB0">
              <w:rPr>
                <w:rFonts w:ascii="宋体" w:eastAsia="宋体" w:hAnsi="宋体" w:cs="宋体"/>
                <w:sz w:val="18"/>
                <w:szCs w:val="18"/>
              </w:rPr>
              <w:t>43,195,202.83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10,846,173.06</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240AB0">
            <w:pPr>
              <w:spacing w:line="240" w:lineRule="exact"/>
              <w:jc w:val="right"/>
              <w:rPr>
                <w:rFonts w:ascii="宋体" w:eastAsia="宋体" w:hAnsi="宋体" w:cs="宋体"/>
                <w:sz w:val="18"/>
                <w:szCs w:val="18"/>
              </w:rPr>
            </w:pPr>
            <w:r w:rsidRPr="00240AB0">
              <w:rPr>
                <w:rFonts w:ascii="宋体" w:eastAsia="宋体" w:hAnsi="宋体" w:cs="宋体"/>
                <w:sz w:val="18"/>
                <w:szCs w:val="18"/>
              </w:rPr>
              <w:t>298.25%</w:t>
            </w:r>
          </w:p>
        </w:tc>
      </w:tr>
      <w:tr w:rsidR="00A27D66" w:rsidRPr="000A1D0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0A1D01" w:rsidRDefault="00A2119D">
            <w:pPr>
              <w:spacing w:before="40" w:after="40" w:line="240" w:lineRule="exact"/>
              <w:rPr>
                <w:rFonts w:ascii="宋体" w:eastAsia="宋体" w:hAnsi="宋体" w:cs="宋体"/>
                <w:sz w:val="18"/>
                <w:szCs w:val="18"/>
              </w:rPr>
            </w:pPr>
            <w:r w:rsidRPr="000A1D01">
              <w:rPr>
                <w:rFonts w:ascii="宋体" w:eastAsia="宋体" w:hAnsi="宋体" w:cs="宋体"/>
                <w:sz w:val="18"/>
                <w:szCs w:val="18"/>
              </w:rPr>
              <w:t>筹资活动产生的现金流量净额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Pr="000A1D01" w:rsidRDefault="00240AB0">
            <w:pPr>
              <w:spacing w:line="240" w:lineRule="exact"/>
              <w:jc w:val="right"/>
              <w:rPr>
                <w:rFonts w:ascii="宋体" w:eastAsia="宋体" w:hAnsi="宋体" w:cs="宋体"/>
                <w:sz w:val="18"/>
                <w:szCs w:val="18"/>
              </w:rPr>
            </w:pPr>
            <w:r w:rsidRPr="000A1D01">
              <w:rPr>
                <w:rFonts w:ascii="宋体" w:eastAsia="宋体" w:hAnsi="宋体" w:cs="宋体"/>
                <w:sz w:val="18"/>
                <w:szCs w:val="18"/>
              </w:rPr>
              <w:t>-30,885,202.83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-10,846,173.06</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Pr="000A1D01" w:rsidRDefault="00240AB0" w:rsidP="00FF175E">
            <w:pPr>
              <w:spacing w:line="240" w:lineRule="exact"/>
              <w:jc w:val="right"/>
              <w:rPr>
                <w:rFonts w:ascii="宋体" w:eastAsia="宋体" w:hAnsi="宋体" w:cs="宋体"/>
                <w:sz w:val="18"/>
                <w:szCs w:val="18"/>
              </w:rPr>
            </w:pPr>
            <w:r w:rsidRPr="000A1D01">
              <w:rPr>
                <w:rFonts w:ascii="宋体" w:eastAsia="宋体" w:hAnsi="宋体" w:cs="宋体"/>
                <w:sz w:val="18"/>
                <w:szCs w:val="18"/>
              </w:rPr>
              <w:t>-184.76%</w:t>
            </w:r>
          </w:p>
        </w:tc>
      </w:tr>
      <w:tr w:rsidR="00A27D66" w:rsidRPr="000A1D01">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0A1D01" w:rsidRDefault="00A2119D">
            <w:pPr>
              <w:spacing w:before="40" w:after="40" w:line="240" w:lineRule="exact"/>
              <w:rPr>
                <w:rFonts w:ascii="宋体" w:eastAsia="宋体" w:hAnsi="宋体" w:cs="宋体"/>
                <w:sz w:val="18"/>
                <w:szCs w:val="18"/>
              </w:rPr>
            </w:pPr>
            <w:r w:rsidRPr="000A1D01">
              <w:rPr>
                <w:rFonts w:ascii="宋体" w:eastAsia="宋体" w:hAnsi="宋体" w:cs="宋体"/>
                <w:sz w:val="18"/>
                <w:szCs w:val="18"/>
              </w:rPr>
              <w:t>现金及现金等价物净增加额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-167,518,717.65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108,585,216.06</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-254.27%</w:t>
            </w:r>
          </w:p>
        </w:tc>
      </w:tr>
    </w:tbl>
    <w:p w:rsidR="00A27D66" w:rsidRPr="000A1D01" w:rsidRDefault="00A2119D" w:rsidP="00DC12AD">
      <w:pPr>
        <w:rPr>
          <w:rFonts w:ascii="宋体" w:eastAsia="宋体" w:hAnsi="宋体" w:cs="宋体"/>
          <w:sz w:val="18"/>
          <w:szCs w:val="18"/>
        </w:rPr>
      </w:pPr>
      <w:r w:rsidRPr="000A1D01">
        <w:rPr>
          <w:rFonts w:ascii="宋体" w:eastAsia="宋体" w:hAnsi="宋体" w:cs="宋体"/>
          <w:sz w:val="18"/>
          <w:szCs w:val="18"/>
        </w:rPr>
        <w:t>相关数据同比发生重大变动的主要影响因素说明</w:t>
      </w:r>
    </w:p>
    <w:p w:rsidR="00A27D66" w:rsidRPr="000A1D01" w:rsidRDefault="00A2119D" w:rsidP="00DC12AD">
      <w:pPr>
        <w:rPr>
          <w:rFonts w:ascii="宋体" w:eastAsia="宋体" w:hAnsi="宋体" w:cs="宋体"/>
          <w:sz w:val="18"/>
          <w:szCs w:val="18"/>
        </w:rPr>
      </w:pPr>
      <w:r w:rsidRPr="000A1D01">
        <w:rPr>
          <w:rFonts w:ascii="宋体" w:eastAsia="宋体" w:hAnsi="宋体" w:cs="宋体"/>
          <w:sz w:val="18"/>
          <w:szCs w:val="18"/>
        </w:rPr>
        <w:sym w:font="Wingdings 2" w:char="F052"/>
      </w:r>
      <w:r w:rsidRPr="000A1D01">
        <w:rPr>
          <w:rFonts w:ascii="宋体" w:eastAsia="宋体" w:hAnsi="宋体" w:cs="宋体"/>
          <w:sz w:val="18"/>
          <w:szCs w:val="18"/>
        </w:rPr>
        <w:t>适用 □不适用</w:t>
      </w:r>
    </w:p>
    <w:p w:rsidR="00A2119D" w:rsidRPr="000A1D01" w:rsidRDefault="00A2119D" w:rsidP="00DC12AD">
      <w:pPr>
        <w:pStyle w:val="a3"/>
        <w:spacing w:before="0" w:beforeAutospacing="0" w:after="0" w:afterAutospacing="0"/>
        <w:divId w:val="1782534964"/>
        <w:rPr>
          <w:sz w:val="18"/>
          <w:szCs w:val="18"/>
        </w:rPr>
      </w:pPr>
      <w:r w:rsidRPr="000A1D01">
        <w:rPr>
          <w:rFonts w:hint="eastAsia"/>
          <w:sz w:val="18"/>
          <w:szCs w:val="18"/>
        </w:rPr>
        <w:t>（1）经营活动产生的现金流量净额同比减少，主要原因是：本期销售回款减少；</w:t>
      </w:r>
    </w:p>
    <w:p w:rsidR="00A2119D" w:rsidRPr="000A1D01" w:rsidRDefault="00A2119D" w:rsidP="00DC12AD">
      <w:pPr>
        <w:pStyle w:val="a3"/>
        <w:spacing w:before="0" w:beforeAutospacing="0" w:after="0" w:afterAutospacing="0"/>
        <w:divId w:val="1782534964"/>
        <w:rPr>
          <w:sz w:val="18"/>
          <w:szCs w:val="18"/>
        </w:rPr>
      </w:pPr>
      <w:r w:rsidRPr="000A1D01">
        <w:rPr>
          <w:rFonts w:hint="eastAsia"/>
          <w:sz w:val="18"/>
          <w:szCs w:val="18"/>
        </w:rPr>
        <w:t>（2）投资活动产生的现金流量净额同比减少，主要原因是：本期持有理财金额增加；</w:t>
      </w:r>
    </w:p>
    <w:p w:rsidR="00A2119D" w:rsidRPr="000A1D01" w:rsidRDefault="00A2119D" w:rsidP="00DC12AD">
      <w:pPr>
        <w:pStyle w:val="a3"/>
        <w:spacing w:before="0" w:beforeAutospacing="0" w:after="0" w:afterAutospacing="0"/>
        <w:divId w:val="1782534964"/>
        <w:rPr>
          <w:sz w:val="18"/>
          <w:szCs w:val="18"/>
        </w:rPr>
      </w:pPr>
      <w:r w:rsidRPr="000A1D01">
        <w:rPr>
          <w:rFonts w:hint="eastAsia"/>
          <w:sz w:val="18"/>
          <w:szCs w:val="18"/>
        </w:rPr>
        <w:t>（3）筹资活动现金流入小计同比增加，主要原因是：本期银行借款增加；</w:t>
      </w:r>
    </w:p>
    <w:p w:rsidR="00A2119D" w:rsidRPr="000A1D01" w:rsidRDefault="00A2119D" w:rsidP="00DC12AD">
      <w:pPr>
        <w:pStyle w:val="a3"/>
        <w:spacing w:before="0" w:beforeAutospacing="0" w:after="0" w:afterAutospacing="0"/>
        <w:divId w:val="1782534964"/>
        <w:rPr>
          <w:sz w:val="18"/>
          <w:szCs w:val="18"/>
        </w:rPr>
      </w:pPr>
      <w:r w:rsidRPr="000A1D01">
        <w:rPr>
          <w:rFonts w:hint="eastAsia"/>
          <w:sz w:val="18"/>
          <w:szCs w:val="18"/>
        </w:rPr>
        <w:t>（4</w:t>
      </w:r>
      <w:r w:rsidR="00FC311D" w:rsidRPr="000A1D01">
        <w:rPr>
          <w:rFonts w:hint="eastAsia"/>
          <w:sz w:val="18"/>
          <w:szCs w:val="18"/>
        </w:rPr>
        <w:t>）筹资活动现金流出小计同比增加，主要原因是：本期股权激励限制性</w:t>
      </w:r>
      <w:r w:rsidRPr="000A1D01">
        <w:rPr>
          <w:rFonts w:hint="eastAsia"/>
          <w:sz w:val="18"/>
          <w:szCs w:val="18"/>
        </w:rPr>
        <w:t>股票回购</w:t>
      </w:r>
      <w:r w:rsidR="00FC311D" w:rsidRPr="000A1D01">
        <w:rPr>
          <w:rFonts w:hint="eastAsia"/>
          <w:sz w:val="18"/>
          <w:szCs w:val="18"/>
        </w:rPr>
        <w:t>注销及二级市场公开回购股份</w:t>
      </w:r>
      <w:r w:rsidRPr="000A1D01">
        <w:rPr>
          <w:rFonts w:hint="eastAsia"/>
          <w:sz w:val="18"/>
          <w:szCs w:val="18"/>
        </w:rPr>
        <w:t>，现金流出增加；</w:t>
      </w:r>
    </w:p>
    <w:p w:rsidR="00A2119D" w:rsidRPr="000A1D01" w:rsidRDefault="00A2119D" w:rsidP="00DC12AD">
      <w:pPr>
        <w:pStyle w:val="a3"/>
        <w:spacing w:before="0" w:beforeAutospacing="0" w:after="0" w:afterAutospacing="0"/>
        <w:divId w:val="1782534964"/>
        <w:rPr>
          <w:sz w:val="18"/>
          <w:szCs w:val="18"/>
        </w:rPr>
      </w:pPr>
      <w:r w:rsidRPr="000A1D01">
        <w:rPr>
          <w:rFonts w:hint="eastAsia"/>
          <w:sz w:val="18"/>
          <w:szCs w:val="18"/>
        </w:rPr>
        <w:t>（5）筹资活动产生的现金流量净额同比减少，主要原因是：</w:t>
      </w:r>
      <w:r w:rsidR="00FC311D" w:rsidRPr="000A1D01">
        <w:rPr>
          <w:rFonts w:hint="eastAsia"/>
          <w:sz w:val="18"/>
          <w:szCs w:val="18"/>
        </w:rPr>
        <w:t>本期股权激励限制性股票回购注销及二级市场公开回购股份，现金流出增加</w:t>
      </w:r>
      <w:r w:rsidRPr="000A1D01">
        <w:rPr>
          <w:rFonts w:hint="eastAsia"/>
          <w:sz w:val="18"/>
          <w:szCs w:val="18"/>
        </w:rPr>
        <w:t>；</w:t>
      </w:r>
    </w:p>
    <w:p w:rsidR="00A2119D" w:rsidRDefault="00A2119D" w:rsidP="00DC12AD">
      <w:pPr>
        <w:pStyle w:val="a3"/>
        <w:spacing w:before="0" w:beforeAutospacing="0" w:after="0" w:afterAutospacing="0"/>
        <w:divId w:val="1782534964"/>
        <w:rPr>
          <w:sz w:val="18"/>
          <w:szCs w:val="18"/>
        </w:rPr>
      </w:pPr>
      <w:r w:rsidRPr="000A1D01">
        <w:rPr>
          <w:rFonts w:hint="eastAsia"/>
          <w:sz w:val="18"/>
          <w:szCs w:val="18"/>
        </w:rPr>
        <w:t>（6）现金及现金等价物净增加额同比减少，主要原因是：1、本期销售回款减少；2、本期持有理财金额增加；3、</w:t>
      </w:r>
      <w:r w:rsidR="00FC311D" w:rsidRPr="000A1D01">
        <w:rPr>
          <w:rFonts w:hint="eastAsia"/>
          <w:sz w:val="18"/>
          <w:szCs w:val="18"/>
        </w:rPr>
        <w:t>本期股权激励限制性股票回购注销及二级市场公开回购股份，现金流出增加</w:t>
      </w:r>
      <w:r w:rsidRPr="000A1D01">
        <w:rPr>
          <w:rFonts w:hint="eastAsia"/>
          <w:sz w:val="18"/>
          <w:szCs w:val="18"/>
        </w:rPr>
        <w:t>。</w:t>
      </w:r>
    </w:p>
    <w:p w:rsidR="00A27D66" w:rsidRDefault="00A2119D" w:rsidP="00DC12AD">
      <w:pPr>
        <w:rPr>
          <w:rFonts w:ascii="宋体" w:eastAsia="宋体" w:hAnsi="宋体" w:cs="宋体"/>
          <w:sz w:val="18"/>
          <w:szCs w:val="18"/>
        </w:rPr>
      </w:pPr>
      <w:r>
        <w:rPr>
          <w:rFonts w:ascii="宋体" w:eastAsia="宋体" w:hAnsi="宋体" w:cs="宋体"/>
          <w:sz w:val="18"/>
          <w:szCs w:val="18"/>
        </w:rPr>
        <w:t>报告期内公司经营活动产生的现金净流量与本年度净利润存在重大差异的原因说明</w:t>
      </w:r>
    </w:p>
    <w:p w:rsidR="00A27D66" w:rsidRDefault="00A2119D" w:rsidP="00DC12AD">
      <w:pPr>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119D" w:rsidRDefault="00A2119D" w:rsidP="00DC12AD">
      <w:pPr>
        <w:pStyle w:val="a3"/>
        <w:spacing w:before="0" w:beforeAutospacing="0" w:after="0" w:afterAutospacing="0"/>
        <w:divId w:val="54205127"/>
        <w:rPr>
          <w:sz w:val="18"/>
          <w:szCs w:val="18"/>
        </w:rPr>
      </w:pPr>
      <w:r>
        <w:rPr>
          <w:rFonts w:hint="eastAsia"/>
          <w:sz w:val="18"/>
          <w:szCs w:val="18"/>
        </w:rPr>
        <w:t>详见“第十节财务报告七、合并报表注释58（1）现金流量表补充资料”。</w:t>
      </w:r>
    </w:p>
    <w:p w:rsidR="00A27D66" w:rsidRDefault="00A2119D">
      <w:pPr>
        <w:pStyle w:val="2"/>
        <w:spacing w:before="300" w:after="300" w:line="320" w:lineRule="exact"/>
        <w:rPr>
          <w:rFonts w:ascii="宋体" w:eastAsia="宋体" w:hAnsi="宋体" w:cs="宋体"/>
          <w:b/>
          <w:bCs/>
          <w:sz w:val="24"/>
          <w:szCs w:val="24"/>
        </w:rPr>
      </w:pPr>
      <w:bookmarkStart w:id="32" w:name="_Toc988920"/>
      <w:r>
        <w:rPr>
          <w:rFonts w:ascii="宋体" w:eastAsia="宋体" w:hAnsi="宋体" w:cs="宋体"/>
          <w:b/>
          <w:bCs/>
          <w:sz w:val="24"/>
          <w:szCs w:val="24"/>
        </w:rPr>
        <w:t>五、非主营业务分析</w:t>
      </w:r>
      <w:bookmarkEnd w:id="32"/>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617"/>
        <w:gridCol w:w="1559"/>
        <w:gridCol w:w="2608"/>
        <w:gridCol w:w="1928"/>
      </w:tblGrid>
      <w:tr w:rsidR="00A27D66" w:rsidTr="00DC12A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61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占利润总额比例</w:t>
            </w:r>
          </w:p>
        </w:tc>
        <w:tc>
          <w:tcPr>
            <w:tcW w:w="260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形成原因说明</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是否具有可持续性</w:t>
            </w:r>
          </w:p>
        </w:tc>
      </w:tr>
      <w:tr w:rsidR="00A27D66" w:rsidTr="00DC12A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投资收益</w:t>
            </w:r>
          </w:p>
        </w:tc>
        <w:tc>
          <w:tcPr>
            <w:tcW w:w="1617" w:type="dxa"/>
            <w:tcBorders>
              <w:top w:val="single" w:sz="2" w:space="0" w:color="auto"/>
              <w:left w:val="single" w:sz="2" w:space="0" w:color="auto"/>
              <w:bottom w:val="single" w:sz="2" w:space="0" w:color="auto"/>
              <w:right w:val="single" w:sz="2" w:space="0" w:color="auto"/>
            </w:tcBorders>
            <w:vAlign w:val="center"/>
          </w:tcPr>
          <w:p w:rsidR="00A27D66" w:rsidRDefault="00C50A0F">
            <w:pPr>
              <w:spacing w:line="240" w:lineRule="exact"/>
              <w:jc w:val="right"/>
              <w:rPr>
                <w:rFonts w:ascii="宋体" w:eastAsia="宋体" w:hAnsi="宋体" w:cs="宋体"/>
                <w:sz w:val="18"/>
                <w:szCs w:val="18"/>
              </w:rPr>
            </w:pPr>
            <w:r w:rsidRPr="00C50A0F">
              <w:rPr>
                <w:rFonts w:ascii="宋体" w:eastAsia="宋体" w:hAnsi="宋体" w:cs="宋体"/>
                <w:sz w:val="18"/>
                <w:szCs w:val="18"/>
              </w:rPr>
              <w:t>-12,637,838.98</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C50A0F">
            <w:pPr>
              <w:spacing w:line="240" w:lineRule="exact"/>
              <w:jc w:val="right"/>
              <w:rPr>
                <w:rFonts w:ascii="宋体" w:eastAsia="宋体" w:hAnsi="宋体" w:cs="宋体"/>
                <w:sz w:val="18"/>
                <w:szCs w:val="18"/>
              </w:rPr>
            </w:pPr>
            <w:r w:rsidRPr="00C50A0F">
              <w:rPr>
                <w:rFonts w:ascii="宋体" w:eastAsia="宋体" w:hAnsi="宋体" w:cs="宋体"/>
                <w:sz w:val="18"/>
                <w:szCs w:val="18"/>
              </w:rPr>
              <w:t>-70.73%</w:t>
            </w:r>
          </w:p>
        </w:tc>
        <w:tc>
          <w:tcPr>
            <w:tcW w:w="260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主要是对联营企业的投资损失和银行理财收益</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rsidTr="00DC12A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公允价值变动损益</w:t>
            </w:r>
          </w:p>
        </w:tc>
        <w:tc>
          <w:tcPr>
            <w:tcW w:w="161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4,169,088.25</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C50A0F">
            <w:pPr>
              <w:spacing w:line="240" w:lineRule="exact"/>
              <w:jc w:val="right"/>
              <w:rPr>
                <w:rFonts w:ascii="宋体" w:eastAsia="宋体" w:hAnsi="宋体" w:cs="宋体"/>
                <w:sz w:val="18"/>
                <w:szCs w:val="18"/>
              </w:rPr>
            </w:pPr>
            <w:r w:rsidRPr="00C50A0F">
              <w:rPr>
                <w:rFonts w:ascii="宋体" w:eastAsia="宋体" w:hAnsi="宋体" w:cs="宋体"/>
                <w:sz w:val="18"/>
                <w:szCs w:val="18"/>
              </w:rPr>
              <w:t>23.33%</w:t>
            </w:r>
          </w:p>
        </w:tc>
        <w:tc>
          <w:tcPr>
            <w:tcW w:w="260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主要是持有理财产品</w:t>
            </w:r>
            <w:proofErr w:type="gramStart"/>
            <w:r>
              <w:rPr>
                <w:rFonts w:ascii="宋体" w:eastAsia="宋体" w:hAnsi="宋体" w:cs="宋体"/>
                <w:sz w:val="18"/>
                <w:szCs w:val="18"/>
              </w:rPr>
              <w:t>的浮盈</w:t>
            </w:r>
            <w:proofErr w:type="gramEnd"/>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rsidTr="00DC12A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资产减值</w:t>
            </w:r>
          </w:p>
        </w:tc>
        <w:tc>
          <w:tcPr>
            <w:tcW w:w="1617" w:type="dxa"/>
            <w:tcBorders>
              <w:top w:val="single" w:sz="2" w:space="0" w:color="auto"/>
              <w:left w:val="single" w:sz="2" w:space="0" w:color="auto"/>
              <w:bottom w:val="single" w:sz="2" w:space="0" w:color="auto"/>
              <w:right w:val="single" w:sz="2" w:space="0" w:color="auto"/>
            </w:tcBorders>
            <w:vAlign w:val="center"/>
          </w:tcPr>
          <w:p w:rsidR="00A27D66" w:rsidRDefault="00C50A0F">
            <w:pPr>
              <w:spacing w:line="240" w:lineRule="exact"/>
              <w:jc w:val="right"/>
              <w:rPr>
                <w:rFonts w:ascii="宋体" w:eastAsia="宋体" w:hAnsi="宋体" w:cs="宋体"/>
                <w:sz w:val="18"/>
                <w:szCs w:val="18"/>
              </w:rPr>
            </w:pPr>
            <w:r w:rsidRPr="00C50A0F">
              <w:rPr>
                <w:rFonts w:ascii="宋体" w:eastAsia="宋体" w:hAnsi="宋体" w:cs="宋体"/>
                <w:sz w:val="18"/>
                <w:szCs w:val="18"/>
              </w:rPr>
              <w:t>-1,253,386.55</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C50A0F">
            <w:pPr>
              <w:spacing w:line="240" w:lineRule="exact"/>
              <w:jc w:val="right"/>
              <w:rPr>
                <w:rFonts w:ascii="宋体" w:eastAsia="宋体" w:hAnsi="宋体" w:cs="宋体"/>
                <w:sz w:val="18"/>
                <w:szCs w:val="18"/>
              </w:rPr>
            </w:pPr>
            <w:r w:rsidRPr="00C50A0F">
              <w:rPr>
                <w:rFonts w:ascii="宋体" w:eastAsia="宋体" w:hAnsi="宋体" w:cs="宋体"/>
                <w:sz w:val="18"/>
                <w:szCs w:val="18"/>
              </w:rPr>
              <w:t>-7.01%</w:t>
            </w:r>
          </w:p>
        </w:tc>
        <w:tc>
          <w:tcPr>
            <w:tcW w:w="260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rsidTr="00DC12A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营业外收入</w:t>
            </w:r>
          </w:p>
        </w:tc>
        <w:tc>
          <w:tcPr>
            <w:tcW w:w="161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1,747,985.36</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C50A0F">
            <w:pPr>
              <w:spacing w:line="240" w:lineRule="exact"/>
              <w:jc w:val="right"/>
              <w:rPr>
                <w:rFonts w:ascii="宋体" w:eastAsia="宋体" w:hAnsi="宋体" w:cs="宋体"/>
                <w:sz w:val="18"/>
                <w:szCs w:val="18"/>
              </w:rPr>
            </w:pPr>
            <w:r w:rsidRPr="00C50A0F">
              <w:rPr>
                <w:rFonts w:ascii="宋体" w:eastAsia="宋体" w:hAnsi="宋体" w:cs="宋体"/>
                <w:sz w:val="18"/>
                <w:szCs w:val="18"/>
              </w:rPr>
              <w:t>9.78%</w:t>
            </w:r>
          </w:p>
        </w:tc>
        <w:tc>
          <w:tcPr>
            <w:tcW w:w="260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rsidTr="00DC12AD">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营业外支出</w:t>
            </w:r>
          </w:p>
        </w:tc>
        <w:tc>
          <w:tcPr>
            <w:tcW w:w="161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1,759,207.36</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C50A0F">
            <w:pPr>
              <w:spacing w:line="240" w:lineRule="exact"/>
              <w:jc w:val="right"/>
              <w:rPr>
                <w:rFonts w:ascii="宋体" w:eastAsia="宋体" w:hAnsi="宋体" w:cs="宋体"/>
                <w:sz w:val="18"/>
                <w:szCs w:val="18"/>
              </w:rPr>
            </w:pPr>
            <w:r w:rsidRPr="00C50A0F">
              <w:rPr>
                <w:rFonts w:ascii="宋体" w:eastAsia="宋体" w:hAnsi="宋体" w:cs="宋体"/>
                <w:sz w:val="18"/>
                <w:szCs w:val="18"/>
              </w:rPr>
              <w:t>9.85%</w:t>
            </w:r>
          </w:p>
        </w:tc>
        <w:tc>
          <w:tcPr>
            <w:tcW w:w="260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bl>
    <w:p w:rsidR="00A27D66" w:rsidRDefault="00A2119D">
      <w:pPr>
        <w:pStyle w:val="2"/>
        <w:spacing w:before="300" w:after="300" w:line="320" w:lineRule="exact"/>
        <w:rPr>
          <w:rFonts w:ascii="宋体" w:eastAsia="宋体" w:hAnsi="宋体" w:cs="宋体"/>
          <w:b/>
          <w:bCs/>
          <w:sz w:val="24"/>
          <w:szCs w:val="24"/>
        </w:rPr>
      </w:pPr>
      <w:bookmarkStart w:id="33" w:name="_Toc988921"/>
      <w:r>
        <w:rPr>
          <w:rFonts w:ascii="宋体" w:eastAsia="宋体" w:hAnsi="宋体" w:cs="宋体"/>
          <w:b/>
          <w:bCs/>
          <w:sz w:val="24"/>
          <w:szCs w:val="24"/>
        </w:rPr>
        <w:t>六、资产及负债状况分析</w:t>
      </w:r>
      <w:bookmarkEnd w:id="33"/>
    </w:p>
    <w:p w:rsidR="00A27D66" w:rsidRDefault="00A2119D">
      <w:pPr>
        <w:pStyle w:val="3"/>
        <w:spacing w:line="280" w:lineRule="exact"/>
        <w:jc w:val="left"/>
        <w:rPr>
          <w:rFonts w:ascii="宋体" w:hAnsi="宋体" w:cs="宋体"/>
          <w:b/>
          <w:bCs/>
        </w:rPr>
      </w:pPr>
      <w:bookmarkStart w:id="34" w:name="_Toc988922"/>
      <w:r>
        <w:rPr>
          <w:rFonts w:ascii="宋体" w:hAnsi="宋体" w:cs="宋体"/>
          <w:b/>
          <w:bCs/>
        </w:rPr>
        <w:t>1、资产构成重大变动情况</w:t>
      </w:r>
      <w:bookmarkEnd w:id="34"/>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560"/>
        <w:gridCol w:w="1559"/>
        <w:gridCol w:w="1012"/>
        <w:gridCol w:w="1539"/>
        <w:gridCol w:w="1215"/>
        <w:gridCol w:w="1053"/>
        <w:gridCol w:w="1701"/>
      </w:tblGrid>
      <w:tr w:rsidR="00A27D66" w:rsidTr="00DC12AD">
        <w:trPr>
          <w:trHeight w:val="240"/>
        </w:trPr>
        <w:tc>
          <w:tcPr>
            <w:tcW w:w="15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57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2024年末</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2024年初</w:t>
            </w:r>
          </w:p>
        </w:tc>
        <w:tc>
          <w:tcPr>
            <w:tcW w:w="105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比重增减</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A27D66" w:rsidTr="00DC12AD">
        <w:trPr>
          <w:trHeight w:val="240"/>
        </w:trPr>
        <w:tc>
          <w:tcPr>
            <w:tcW w:w="156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1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53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21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05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131,255,863.36</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7.12%</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249,689,720.62</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13.56%</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-6.44%</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1、本期销售回款减少；2、本期持有理财金额增加</w:t>
            </w: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224,622,631.64</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12.18%</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153,702,930.32</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8.35%</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3.83%</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本期销售回款减少</w:t>
            </w: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存货</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177,203,161.42</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9.61%</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162,912,360.72</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8.85%</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0.76%</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投资性房地产</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21,623,145.28</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1.17%</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21,857,997.49</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1.19%</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-0.02%</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长期股权投资</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103AD1">
            <w:pPr>
              <w:spacing w:line="240" w:lineRule="exact"/>
              <w:jc w:val="right"/>
              <w:rPr>
                <w:rFonts w:ascii="宋体" w:eastAsia="宋体" w:hAnsi="宋体" w:cs="宋体"/>
                <w:sz w:val="18"/>
                <w:szCs w:val="18"/>
              </w:rPr>
            </w:pPr>
            <w:r w:rsidRPr="00446A85">
              <w:rPr>
                <w:rFonts w:ascii="宋体" w:eastAsia="宋体" w:hAnsi="宋体" w:cs="宋体"/>
                <w:sz w:val="18"/>
                <w:szCs w:val="18"/>
              </w:rPr>
              <w:t>219</w:t>
            </w:r>
            <w:r>
              <w:rPr>
                <w:rFonts w:ascii="宋体" w:eastAsia="宋体" w:hAnsi="宋体" w:cs="宋体"/>
                <w:sz w:val="18"/>
                <w:szCs w:val="18"/>
              </w:rPr>
              <w:t>,</w:t>
            </w:r>
            <w:r w:rsidRPr="00446A85">
              <w:rPr>
                <w:rFonts w:ascii="宋体" w:eastAsia="宋体" w:hAnsi="宋体" w:cs="宋体"/>
                <w:sz w:val="18"/>
                <w:szCs w:val="18"/>
              </w:rPr>
              <w:t>987</w:t>
            </w:r>
            <w:r>
              <w:rPr>
                <w:rFonts w:ascii="宋体" w:eastAsia="宋体" w:hAnsi="宋体" w:cs="宋体"/>
                <w:sz w:val="18"/>
                <w:szCs w:val="18"/>
              </w:rPr>
              <w:t>,</w:t>
            </w:r>
            <w:r w:rsidRPr="00446A85">
              <w:rPr>
                <w:rFonts w:ascii="宋体" w:eastAsia="宋体" w:hAnsi="宋体" w:cs="宋体"/>
                <w:sz w:val="18"/>
                <w:szCs w:val="18"/>
              </w:rPr>
              <w:t>262.51</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rsidP="00C50A0F">
            <w:pPr>
              <w:spacing w:line="240" w:lineRule="exact"/>
              <w:jc w:val="right"/>
              <w:rPr>
                <w:rFonts w:ascii="宋体" w:eastAsia="宋体" w:hAnsi="宋体" w:cs="宋体"/>
                <w:sz w:val="18"/>
                <w:szCs w:val="18"/>
              </w:rPr>
            </w:pPr>
            <w:r>
              <w:rPr>
                <w:rFonts w:ascii="宋体" w:eastAsia="宋体" w:hAnsi="宋体" w:cs="宋体"/>
                <w:sz w:val="18"/>
                <w:szCs w:val="18"/>
              </w:rPr>
              <w:t>11.</w:t>
            </w:r>
            <w:r w:rsidR="00C50A0F">
              <w:rPr>
                <w:rFonts w:ascii="宋体" w:eastAsia="宋体" w:hAnsi="宋体" w:cs="宋体"/>
                <w:sz w:val="18"/>
                <w:szCs w:val="18"/>
              </w:rPr>
              <w:t>93</w:t>
            </w:r>
            <w:r>
              <w:rPr>
                <w:rFonts w:ascii="宋体" w:eastAsia="宋体" w:hAnsi="宋体" w:cs="宋体"/>
                <w:sz w:val="18"/>
                <w:szCs w:val="18"/>
              </w:rPr>
              <w:t>%</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238,121,398.76</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12.93%</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rsidP="00C50A0F">
            <w:pPr>
              <w:spacing w:line="240" w:lineRule="exact"/>
              <w:jc w:val="right"/>
              <w:rPr>
                <w:rFonts w:ascii="宋体" w:eastAsia="宋体" w:hAnsi="宋体" w:cs="宋体"/>
                <w:sz w:val="18"/>
                <w:szCs w:val="18"/>
              </w:rPr>
            </w:pPr>
            <w:r>
              <w:rPr>
                <w:rFonts w:ascii="宋体" w:eastAsia="宋体" w:hAnsi="宋体" w:cs="宋体"/>
                <w:sz w:val="18"/>
                <w:szCs w:val="18"/>
              </w:rPr>
              <w:t>-1.</w:t>
            </w:r>
            <w:r w:rsidR="00C50A0F">
              <w:rPr>
                <w:rFonts w:ascii="宋体" w:eastAsia="宋体" w:hAnsi="宋体" w:cs="宋体"/>
                <w:sz w:val="18"/>
                <w:szCs w:val="18"/>
              </w:rPr>
              <w:t>00</w:t>
            </w:r>
            <w:r>
              <w:rPr>
                <w:rFonts w:ascii="宋体" w:eastAsia="宋体" w:hAnsi="宋体" w:cs="宋体"/>
                <w:sz w:val="18"/>
                <w:szCs w:val="18"/>
              </w:rPr>
              <w:t>%</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62,900,699.99</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3.41%</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63,917,992.45</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3.47%</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-0.06%</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9,209,122.07</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0.50%</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3,543,818.56</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0.19%</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0.31%</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使用权资产</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55,381,253.50</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3.00%</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60,325,981.99</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3.28%</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短期借款</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0.54%</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0.54%</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合同负债</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3,359,350.06</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0.18%</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626,544.25</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0.15%</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租赁负债</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58,614,583.71</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3.18%</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62,698,606.26</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3.40%</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-0.22%</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212,691,865.42</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11.53%</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175,511,514.25</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9.53%</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2.00%</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本期持有理财金额增加</w:t>
            </w: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应收票据</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103,158,129.55</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5.59%</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93,190,570.88</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5.06%</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0.53%</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其他权益工具投资</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58,611,906.40</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3.18%</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57,770,311.20</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3.14%</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0.04%</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DC12AD">
        <w:trPr>
          <w:trHeight w:val="240"/>
        </w:trPr>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商誉</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462,364,253.52</w:t>
            </w:r>
          </w:p>
        </w:tc>
        <w:tc>
          <w:tcPr>
            <w:tcW w:w="101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25.07%</w:t>
            </w:r>
          </w:p>
        </w:tc>
        <w:tc>
          <w:tcPr>
            <w:tcW w:w="153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462,364,253.52</w:t>
            </w:r>
          </w:p>
        </w:tc>
        <w:tc>
          <w:tcPr>
            <w:tcW w:w="121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25.10%</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境外资产</w:t>
      </w:r>
      <w:proofErr w:type="gramStart"/>
      <w:r>
        <w:rPr>
          <w:rFonts w:ascii="宋体" w:eastAsia="宋体" w:hAnsi="宋体" w:cs="宋体"/>
          <w:sz w:val="18"/>
          <w:szCs w:val="18"/>
        </w:rPr>
        <w:t>占比较</w:t>
      </w:r>
      <w:proofErr w:type="gramEnd"/>
      <w:r>
        <w:rPr>
          <w:rFonts w:ascii="宋体" w:eastAsia="宋体" w:hAnsi="宋体" w:cs="宋体"/>
          <w:sz w:val="18"/>
          <w:szCs w:val="18"/>
        </w:rPr>
        <w:t>高</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35" w:name="_Toc988923"/>
      <w:r>
        <w:rPr>
          <w:rFonts w:ascii="宋体" w:hAnsi="宋体" w:cs="宋体"/>
          <w:b/>
          <w:bCs/>
        </w:rPr>
        <w:t>2、以公允价值计量的资产和负债</w:t>
      </w:r>
      <w:bookmarkEnd w:id="35"/>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A27D66">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期末数</w:t>
            </w:r>
          </w:p>
        </w:tc>
      </w:tr>
      <w:tr w:rsidR="00A27D66">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金融资产</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1.交易性金融资产（不含衍生金融资产）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175,511,514.25</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4,169,088.25</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652238">
            <w:pPr>
              <w:spacing w:line="240" w:lineRule="exact"/>
              <w:jc w:val="right"/>
              <w:rPr>
                <w:rFonts w:ascii="宋体" w:eastAsia="宋体" w:hAnsi="宋体" w:cs="宋体"/>
                <w:sz w:val="18"/>
                <w:szCs w:val="18"/>
              </w:rPr>
            </w:pPr>
            <w:r w:rsidRPr="000A1D01">
              <w:rPr>
                <w:rFonts w:ascii="宋体" w:eastAsia="宋体" w:hAnsi="宋体" w:cs="宋体" w:hint="eastAsia"/>
                <w:sz w:val="18"/>
                <w:szCs w:val="18"/>
              </w:rPr>
              <w:t>1</w:t>
            </w:r>
            <w:r w:rsidRPr="000A1D01">
              <w:rPr>
                <w:rFonts w:ascii="宋体" w:eastAsia="宋体" w:hAnsi="宋体" w:cs="宋体"/>
                <w:sz w:val="18"/>
                <w:szCs w:val="18"/>
              </w:rPr>
              <w:t>,176,000,000.00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1,142,988,737.08</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212,691,865.42</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4.其他权益工具投资</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57,770,311.20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10,841,595.20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sz w:val="18"/>
                <w:szCs w:val="18"/>
              </w:rPr>
            </w:pPr>
            <w:r w:rsidRPr="000A1D01">
              <w:rPr>
                <w:rFonts w:ascii="宋体" w:eastAsia="宋体" w:hAnsi="宋体" w:cs="宋体"/>
                <w:sz w:val="18"/>
                <w:szCs w:val="18"/>
              </w:rPr>
              <w:t>10,000,000.00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58,611,906.40</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金融资产小计</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233,281,825.45</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4,169,088.25</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10,841,595.20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103AD1">
            <w:pPr>
              <w:spacing w:line="240" w:lineRule="exact"/>
              <w:jc w:val="right"/>
              <w:rPr>
                <w:rFonts w:ascii="宋体" w:eastAsia="宋体" w:hAnsi="宋体" w:cs="宋体"/>
                <w:sz w:val="18"/>
                <w:szCs w:val="18"/>
              </w:rPr>
            </w:pPr>
            <w:r w:rsidRPr="000A1D01">
              <w:rPr>
                <w:rFonts w:ascii="宋体" w:eastAsia="宋体" w:hAnsi="宋体" w:cs="宋体" w:hint="eastAsia"/>
                <w:sz w:val="18"/>
                <w:szCs w:val="18"/>
              </w:rPr>
              <w:t>1</w:t>
            </w:r>
            <w:r w:rsidRPr="000A1D01">
              <w:rPr>
                <w:rFonts w:ascii="宋体" w:eastAsia="宋体" w:hAnsi="宋体" w:cs="宋体"/>
                <w:sz w:val="18"/>
                <w:szCs w:val="18"/>
              </w:rPr>
              <w:t>,176,000,000.00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103AD1">
            <w:pPr>
              <w:spacing w:line="240" w:lineRule="exact"/>
              <w:jc w:val="right"/>
              <w:rPr>
                <w:rFonts w:ascii="宋体" w:eastAsia="宋体" w:hAnsi="宋体" w:cs="宋体"/>
                <w:sz w:val="18"/>
                <w:szCs w:val="18"/>
              </w:rPr>
            </w:pPr>
            <w:r w:rsidRPr="00446A85">
              <w:rPr>
                <w:rFonts w:ascii="宋体" w:eastAsia="宋体" w:hAnsi="宋体" w:cs="宋体"/>
                <w:sz w:val="18"/>
                <w:szCs w:val="18"/>
              </w:rPr>
              <w:t>1,152,988,737.08</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271,303,771.82</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上述合计</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233,281,825.45</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4,169,088.25</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10,841,595.20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652238">
            <w:pPr>
              <w:spacing w:line="240" w:lineRule="exact"/>
              <w:jc w:val="right"/>
              <w:rPr>
                <w:rFonts w:ascii="宋体" w:eastAsia="宋体" w:hAnsi="宋体" w:cs="宋体"/>
                <w:sz w:val="18"/>
                <w:szCs w:val="18"/>
              </w:rPr>
            </w:pPr>
            <w:r w:rsidRPr="000A1D01">
              <w:rPr>
                <w:rFonts w:ascii="宋体" w:eastAsia="宋体" w:hAnsi="宋体" w:cs="宋体" w:hint="eastAsia"/>
                <w:sz w:val="18"/>
                <w:szCs w:val="18"/>
              </w:rPr>
              <w:t>1</w:t>
            </w:r>
            <w:r w:rsidRPr="000A1D01">
              <w:rPr>
                <w:rFonts w:ascii="宋体" w:eastAsia="宋体" w:hAnsi="宋体" w:cs="宋体"/>
                <w:sz w:val="18"/>
                <w:szCs w:val="18"/>
              </w:rPr>
              <w:t>,176,000,000.00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103AD1">
            <w:pPr>
              <w:spacing w:line="240" w:lineRule="exact"/>
              <w:jc w:val="right"/>
              <w:rPr>
                <w:rFonts w:ascii="宋体" w:eastAsia="宋体" w:hAnsi="宋体" w:cs="宋体"/>
                <w:sz w:val="18"/>
                <w:szCs w:val="18"/>
              </w:rPr>
            </w:pPr>
            <w:r w:rsidRPr="00446A85">
              <w:rPr>
                <w:rFonts w:ascii="宋体" w:eastAsia="宋体" w:hAnsi="宋体" w:cs="宋体"/>
                <w:sz w:val="18"/>
                <w:szCs w:val="18"/>
              </w:rPr>
              <w:t>1,152,988,737.08</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271,303,771.82</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报告期内公司主要资产计量属性是否发生重大变化</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pStyle w:val="3"/>
        <w:spacing w:line="280" w:lineRule="exact"/>
        <w:jc w:val="left"/>
        <w:rPr>
          <w:rFonts w:ascii="宋体" w:hAnsi="宋体" w:cs="宋体"/>
          <w:b/>
          <w:bCs/>
        </w:rPr>
      </w:pPr>
      <w:bookmarkStart w:id="36" w:name="_Toc988924"/>
      <w:r>
        <w:rPr>
          <w:rFonts w:ascii="宋体" w:hAnsi="宋体" w:cs="宋体"/>
          <w:b/>
          <w:bCs/>
        </w:rPr>
        <w:t>3、截至报告期末的资产权利受限情况</w:t>
      </w:r>
      <w:bookmarkEnd w:id="36"/>
    </w:p>
    <w:tbl>
      <w:tblPr>
        <w:tblW w:w="9500" w:type="dxa"/>
        <w:tblCellMar>
          <w:left w:w="0" w:type="dxa"/>
          <w:right w:w="0" w:type="dxa"/>
        </w:tblCellMar>
        <w:tblLook w:val="04A0" w:firstRow="1" w:lastRow="0" w:firstColumn="1" w:lastColumn="0" w:noHBand="0" w:noVBand="1"/>
      </w:tblPr>
      <w:tblGrid>
        <w:gridCol w:w="2020"/>
        <w:gridCol w:w="3100"/>
        <w:gridCol w:w="4380"/>
      </w:tblGrid>
      <w:tr w:rsidR="00A2119D">
        <w:trPr>
          <w:divId w:val="1392734090"/>
          <w:trHeight w:val="288"/>
        </w:trPr>
        <w:tc>
          <w:tcPr>
            <w:tcW w:w="202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A2119D" w:rsidRDefault="00A2119D">
            <w:pPr>
              <w:pStyle w:val="a3"/>
              <w:spacing w:before="0" w:beforeAutospacing="0" w:after="0" w:afterAutospacing="0" w:line="320" w:lineRule="atLeast"/>
              <w:jc w:val="center"/>
              <w:rPr>
                <w:rFonts w:ascii="等线" w:eastAsia="等线" w:hAnsi="等线"/>
                <w:sz w:val="21"/>
                <w:szCs w:val="21"/>
              </w:rPr>
            </w:pPr>
            <w:r>
              <w:rPr>
                <w:rStyle w:val="a4"/>
                <w:rFonts w:hint="eastAsia"/>
                <w:color w:val="000000"/>
                <w:sz w:val="18"/>
                <w:szCs w:val="18"/>
              </w:rPr>
              <w:t>项目</w:t>
            </w:r>
          </w:p>
        </w:tc>
        <w:tc>
          <w:tcPr>
            <w:tcW w:w="310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A2119D" w:rsidRDefault="00A2119D">
            <w:pPr>
              <w:pStyle w:val="a3"/>
              <w:spacing w:before="0" w:beforeAutospacing="0" w:after="0" w:afterAutospacing="0" w:line="320" w:lineRule="atLeast"/>
              <w:jc w:val="center"/>
              <w:rPr>
                <w:rFonts w:ascii="等线" w:eastAsia="等线" w:hAnsi="等线"/>
                <w:sz w:val="21"/>
                <w:szCs w:val="21"/>
              </w:rPr>
            </w:pPr>
            <w:r>
              <w:rPr>
                <w:rStyle w:val="a4"/>
                <w:rFonts w:hint="eastAsia"/>
                <w:color w:val="000000"/>
                <w:sz w:val="18"/>
                <w:szCs w:val="18"/>
              </w:rPr>
              <w:t>2024年12月31日账面价值</w:t>
            </w:r>
          </w:p>
        </w:tc>
        <w:tc>
          <w:tcPr>
            <w:tcW w:w="43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A2119D" w:rsidRDefault="00A2119D">
            <w:pPr>
              <w:pStyle w:val="a3"/>
              <w:spacing w:before="0" w:beforeAutospacing="0" w:after="0" w:afterAutospacing="0" w:line="320" w:lineRule="atLeast"/>
              <w:jc w:val="center"/>
              <w:rPr>
                <w:rFonts w:ascii="等线" w:eastAsia="等线" w:hAnsi="等线"/>
                <w:sz w:val="21"/>
                <w:szCs w:val="21"/>
              </w:rPr>
            </w:pPr>
            <w:r>
              <w:rPr>
                <w:rStyle w:val="a4"/>
                <w:rFonts w:hint="eastAsia"/>
                <w:color w:val="000000"/>
                <w:sz w:val="18"/>
                <w:szCs w:val="18"/>
              </w:rPr>
              <w:t>受限原因</w:t>
            </w:r>
          </w:p>
        </w:tc>
      </w:tr>
      <w:tr w:rsidR="00A2119D">
        <w:trPr>
          <w:divId w:val="1392734090"/>
          <w:trHeight w:val="288"/>
        </w:trPr>
        <w:tc>
          <w:tcPr>
            <w:tcW w:w="202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A2119D" w:rsidRDefault="00A2119D">
            <w:pPr>
              <w:pStyle w:val="a3"/>
              <w:spacing w:before="0" w:beforeAutospacing="0" w:after="0" w:afterAutospacing="0" w:line="320" w:lineRule="atLeast"/>
              <w:rPr>
                <w:rFonts w:ascii="等线" w:eastAsia="等线" w:hAnsi="等线"/>
                <w:sz w:val="21"/>
                <w:szCs w:val="21"/>
              </w:rPr>
            </w:pPr>
            <w:r>
              <w:rPr>
                <w:rFonts w:hint="eastAsia"/>
                <w:color w:val="000000"/>
                <w:sz w:val="18"/>
                <w:szCs w:val="18"/>
              </w:rPr>
              <w:t>货币资金</w:t>
            </w:r>
          </w:p>
        </w:tc>
        <w:tc>
          <w:tcPr>
            <w:tcW w:w="31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A2119D" w:rsidRDefault="00A2119D">
            <w:pPr>
              <w:pStyle w:val="a3"/>
              <w:spacing w:before="0" w:beforeAutospacing="0" w:after="0" w:afterAutospacing="0" w:line="320" w:lineRule="atLeast"/>
              <w:jc w:val="right"/>
              <w:rPr>
                <w:rFonts w:ascii="等线" w:eastAsia="等线" w:hAnsi="等线"/>
                <w:sz w:val="21"/>
                <w:szCs w:val="21"/>
              </w:rPr>
            </w:pPr>
            <w:r>
              <w:rPr>
                <w:rFonts w:hint="eastAsia"/>
                <w:color w:val="000000"/>
                <w:sz w:val="18"/>
                <w:szCs w:val="18"/>
              </w:rPr>
              <w:t>2,580,642.77</w:t>
            </w:r>
          </w:p>
        </w:tc>
        <w:tc>
          <w:tcPr>
            <w:tcW w:w="438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A2119D" w:rsidRDefault="00A2119D">
            <w:pPr>
              <w:pStyle w:val="a3"/>
              <w:spacing w:before="0" w:beforeAutospacing="0" w:after="0" w:afterAutospacing="0" w:line="320" w:lineRule="atLeast"/>
              <w:jc w:val="center"/>
              <w:rPr>
                <w:rFonts w:ascii="等线" w:eastAsia="等线" w:hAnsi="等线"/>
                <w:sz w:val="21"/>
                <w:szCs w:val="21"/>
              </w:rPr>
            </w:pPr>
            <w:r>
              <w:rPr>
                <w:rFonts w:hint="eastAsia"/>
                <w:color w:val="000000"/>
                <w:sz w:val="18"/>
                <w:szCs w:val="18"/>
              </w:rPr>
              <w:t>票据保证金</w:t>
            </w:r>
          </w:p>
        </w:tc>
      </w:tr>
    </w:tbl>
    <w:p w:rsidR="00A27D66" w:rsidRDefault="00A2119D">
      <w:pPr>
        <w:pStyle w:val="2"/>
        <w:spacing w:before="300" w:after="300" w:line="320" w:lineRule="exact"/>
        <w:rPr>
          <w:rFonts w:ascii="宋体" w:eastAsia="宋体" w:hAnsi="宋体" w:cs="宋体"/>
          <w:b/>
          <w:bCs/>
          <w:sz w:val="24"/>
          <w:szCs w:val="24"/>
        </w:rPr>
      </w:pPr>
      <w:bookmarkStart w:id="37" w:name="_Toc988925"/>
      <w:r>
        <w:rPr>
          <w:rFonts w:ascii="宋体" w:eastAsia="宋体" w:hAnsi="宋体" w:cs="宋体"/>
          <w:b/>
          <w:bCs/>
          <w:sz w:val="24"/>
          <w:szCs w:val="24"/>
        </w:rPr>
        <w:lastRenderedPageBreak/>
        <w:t>七、投资状况分析</w:t>
      </w:r>
      <w:bookmarkEnd w:id="37"/>
    </w:p>
    <w:p w:rsidR="00A27D66" w:rsidRDefault="00A2119D">
      <w:pPr>
        <w:pStyle w:val="3"/>
        <w:spacing w:line="280" w:lineRule="exact"/>
        <w:jc w:val="left"/>
        <w:rPr>
          <w:rFonts w:ascii="宋体" w:hAnsi="宋体" w:cs="宋体"/>
          <w:b/>
          <w:bCs/>
        </w:rPr>
      </w:pPr>
      <w:bookmarkStart w:id="38" w:name="_Toc988926"/>
      <w:r>
        <w:rPr>
          <w:rFonts w:ascii="宋体" w:hAnsi="宋体" w:cs="宋体"/>
          <w:b/>
          <w:bCs/>
        </w:rPr>
        <w:t>1、总体情况</w:t>
      </w:r>
      <w:bookmarkEnd w:id="38"/>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39" w:name="_Toc988927"/>
      <w:r>
        <w:rPr>
          <w:rFonts w:ascii="宋体" w:hAnsi="宋体" w:cs="宋体"/>
          <w:b/>
          <w:bCs/>
        </w:rPr>
        <w:t>2、报告期内获取的重大的股权投资情况</w:t>
      </w:r>
      <w:bookmarkEnd w:id="39"/>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40" w:name="_Toc988928"/>
      <w:r>
        <w:rPr>
          <w:rFonts w:ascii="宋体" w:hAnsi="宋体" w:cs="宋体"/>
          <w:b/>
          <w:bCs/>
        </w:rPr>
        <w:t>3、报告期内正在进行的重大的非股权投资情况</w:t>
      </w:r>
      <w:bookmarkEnd w:id="40"/>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41" w:name="_Toc988929"/>
      <w:r>
        <w:rPr>
          <w:rFonts w:ascii="宋体" w:hAnsi="宋体" w:cs="宋体"/>
          <w:b/>
          <w:bCs/>
        </w:rPr>
        <w:t>4、金融资产投资</w:t>
      </w:r>
      <w:bookmarkEnd w:id="41"/>
    </w:p>
    <w:p w:rsidR="00A27D66" w:rsidRDefault="00A2119D">
      <w:pPr>
        <w:keepNext/>
        <w:keepLines/>
        <w:spacing w:before="300" w:after="300" w:line="280" w:lineRule="exact"/>
        <w:outlineLvl w:val="3"/>
        <w:rPr>
          <w:rFonts w:ascii="宋体" w:eastAsia="宋体" w:hAnsi="宋体" w:cs="宋体"/>
          <w:b/>
          <w:bCs/>
          <w:sz w:val="18"/>
          <w:szCs w:val="18"/>
        </w:rPr>
      </w:pPr>
      <w:bookmarkStart w:id="42" w:name="_Toc988930"/>
      <w:r>
        <w:rPr>
          <w:rFonts w:ascii="宋体" w:eastAsia="宋体" w:hAnsi="宋体" w:cs="宋体"/>
          <w:b/>
          <w:bCs/>
          <w:sz w:val="18"/>
          <w:szCs w:val="18"/>
        </w:rPr>
        <w:t>（1） 证券投资情况</w:t>
      </w:r>
      <w:bookmarkEnd w:id="42"/>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公司报告期不存在证券投资。</w:t>
      </w:r>
    </w:p>
    <w:p w:rsidR="00A27D66" w:rsidRDefault="00A2119D">
      <w:pPr>
        <w:keepNext/>
        <w:keepLines/>
        <w:spacing w:before="300" w:after="300" w:line="280" w:lineRule="exact"/>
        <w:outlineLvl w:val="3"/>
        <w:rPr>
          <w:rFonts w:ascii="宋体" w:eastAsia="宋体" w:hAnsi="宋体" w:cs="宋体"/>
          <w:b/>
          <w:bCs/>
          <w:sz w:val="18"/>
          <w:szCs w:val="18"/>
        </w:rPr>
      </w:pPr>
      <w:bookmarkStart w:id="43" w:name="_Toc988931"/>
      <w:r>
        <w:rPr>
          <w:rFonts w:ascii="宋体" w:eastAsia="宋体" w:hAnsi="宋体" w:cs="宋体"/>
          <w:b/>
          <w:bCs/>
          <w:sz w:val="18"/>
          <w:szCs w:val="18"/>
        </w:rPr>
        <w:t>（2） 衍生</w:t>
      </w:r>
      <w:proofErr w:type="gramStart"/>
      <w:r>
        <w:rPr>
          <w:rFonts w:ascii="宋体" w:eastAsia="宋体" w:hAnsi="宋体" w:cs="宋体"/>
          <w:b/>
          <w:bCs/>
          <w:sz w:val="18"/>
          <w:szCs w:val="18"/>
        </w:rPr>
        <w:t>品投资</w:t>
      </w:r>
      <w:proofErr w:type="gramEnd"/>
      <w:r>
        <w:rPr>
          <w:rFonts w:ascii="宋体" w:eastAsia="宋体" w:hAnsi="宋体" w:cs="宋体"/>
          <w:b/>
          <w:bCs/>
          <w:sz w:val="18"/>
          <w:szCs w:val="18"/>
        </w:rPr>
        <w:t>情况</w:t>
      </w:r>
      <w:bookmarkEnd w:id="43"/>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公司报告期不存在衍生品投资。</w:t>
      </w:r>
    </w:p>
    <w:p w:rsidR="00A27D66" w:rsidRDefault="00A2119D">
      <w:pPr>
        <w:pStyle w:val="3"/>
        <w:spacing w:line="280" w:lineRule="exact"/>
        <w:jc w:val="left"/>
        <w:rPr>
          <w:rFonts w:ascii="宋体" w:hAnsi="宋体" w:cs="宋体"/>
          <w:b/>
          <w:bCs/>
        </w:rPr>
      </w:pPr>
      <w:bookmarkStart w:id="44" w:name="_Toc988932"/>
      <w:r>
        <w:rPr>
          <w:rFonts w:ascii="宋体" w:hAnsi="宋体" w:cs="宋体"/>
          <w:b/>
          <w:bCs/>
        </w:rPr>
        <w:t>5、募集资金使用情况</w:t>
      </w:r>
      <w:bookmarkEnd w:id="44"/>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公司报告期无募集资金使用情况。</w:t>
      </w:r>
    </w:p>
    <w:p w:rsidR="00A27D66" w:rsidRDefault="00A2119D">
      <w:pPr>
        <w:pStyle w:val="2"/>
        <w:spacing w:before="300" w:after="300" w:line="320" w:lineRule="exact"/>
        <w:rPr>
          <w:rFonts w:ascii="宋体" w:eastAsia="宋体" w:hAnsi="宋体" w:cs="宋体"/>
          <w:b/>
          <w:bCs/>
          <w:sz w:val="24"/>
          <w:szCs w:val="24"/>
        </w:rPr>
      </w:pPr>
      <w:bookmarkStart w:id="45" w:name="_Toc988933"/>
      <w:r>
        <w:rPr>
          <w:rFonts w:ascii="宋体" w:eastAsia="宋体" w:hAnsi="宋体" w:cs="宋体"/>
          <w:b/>
          <w:bCs/>
          <w:sz w:val="24"/>
          <w:szCs w:val="24"/>
        </w:rPr>
        <w:t>八、重大资产和股权出售</w:t>
      </w:r>
      <w:bookmarkEnd w:id="45"/>
    </w:p>
    <w:p w:rsidR="00A27D66" w:rsidRDefault="00A2119D">
      <w:pPr>
        <w:pStyle w:val="3"/>
        <w:spacing w:line="280" w:lineRule="exact"/>
        <w:jc w:val="left"/>
        <w:rPr>
          <w:rFonts w:ascii="宋体" w:hAnsi="宋体" w:cs="宋体"/>
          <w:b/>
          <w:bCs/>
        </w:rPr>
      </w:pPr>
      <w:bookmarkStart w:id="46" w:name="_Toc988934"/>
      <w:r>
        <w:rPr>
          <w:rFonts w:ascii="宋体" w:hAnsi="宋体" w:cs="宋体"/>
          <w:b/>
          <w:bCs/>
        </w:rPr>
        <w:t>1、出售重大资产情况</w:t>
      </w:r>
      <w:bookmarkEnd w:id="46"/>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公司报告期未出售重大资产。</w:t>
      </w:r>
    </w:p>
    <w:p w:rsidR="00A27D66" w:rsidRDefault="00A2119D">
      <w:pPr>
        <w:pStyle w:val="3"/>
        <w:spacing w:line="280" w:lineRule="exact"/>
        <w:jc w:val="left"/>
        <w:rPr>
          <w:rFonts w:ascii="宋体" w:hAnsi="宋体" w:cs="宋体"/>
          <w:b/>
          <w:bCs/>
        </w:rPr>
      </w:pPr>
      <w:bookmarkStart w:id="47" w:name="_Toc988935"/>
      <w:r>
        <w:rPr>
          <w:rFonts w:ascii="宋体" w:hAnsi="宋体" w:cs="宋体"/>
          <w:b/>
          <w:bCs/>
        </w:rPr>
        <w:t>2、出售重大股权情况</w:t>
      </w:r>
      <w:bookmarkEnd w:id="47"/>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48" w:name="_Toc988936"/>
      <w:r>
        <w:rPr>
          <w:rFonts w:ascii="宋体" w:eastAsia="宋体" w:hAnsi="宋体" w:cs="宋体"/>
          <w:b/>
          <w:bCs/>
          <w:sz w:val="24"/>
          <w:szCs w:val="24"/>
        </w:rPr>
        <w:t>九、主要控股参股公司分析</w:t>
      </w:r>
      <w:bookmarkEnd w:id="48"/>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主要子公司及对公司净利润</w:t>
      </w:r>
      <w:proofErr w:type="gramStart"/>
      <w:r>
        <w:rPr>
          <w:rFonts w:ascii="宋体" w:eastAsia="宋体" w:hAnsi="宋体" w:cs="宋体"/>
          <w:sz w:val="18"/>
          <w:szCs w:val="18"/>
        </w:rPr>
        <w:t>影响达</w:t>
      </w:r>
      <w:proofErr w:type="gramEnd"/>
      <w:r>
        <w:rPr>
          <w:rFonts w:ascii="宋体" w:eastAsia="宋体" w:hAnsi="宋体" w:cs="宋体"/>
          <w:sz w:val="18"/>
          <w:szCs w:val="18"/>
        </w:rPr>
        <w:t>10%以上的参股公司情况</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A27D66">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公司名称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公司类型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沈阳含能金属材料</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有色金属合金制造、仪器仪表制造、粉末冶金制品制造及销售</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30,000,000.00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134,421,772.30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110,933,925.91</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127,163,039.22</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24,830,074.46</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21,048,389.28</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四川升华电源科技有限公司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电源变换器、电源模板、电子元器件</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50,000,000.00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609,127,916.76</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452,675,702.65</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256,306,832.36</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38,548,196.09</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37,588,467.80</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沈阳非晶金属材料有限公司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非晶合金制品的研发、生产、销售</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52,490,158.80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823,070.04</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15,034,724.11</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-12,610,514.47</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-12,610,514.47</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rPr>
                <w:rFonts w:ascii="宋体" w:eastAsia="宋体" w:hAnsi="宋体" w:cs="宋体"/>
                <w:sz w:val="18"/>
                <w:szCs w:val="18"/>
              </w:rPr>
            </w:pPr>
            <w:r w:rsidRPr="000A1D01">
              <w:rPr>
                <w:rFonts w:ascii="宋体" w:eastAsia="宋体" w:hAnsi="宋体" w:cs="宋体"/>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rPr>
                <w:rFonts w:ascii="宋体" w:eastAsia="宋体" w:hAnsi="宋体" w:cs="宋体"/>
                <w:color w:val="000000" w:themeColor="text1"/>
                <w:sz w:val="18"/>
                <w:szCs w:val="18"/>
              </w:rPr>
            </w:pPr>
            <w:r w:rsidRPr="000A1D01">
              <w:rPr>
                <w:rFonts w:ascii="宋体" w:eastAsia="宋体" w:hAnsi="宋体" w:cs="宋体"/>
                <w:color w:val="000000" w:themeColor="text1"/>
                <w:sz w:val="18"/>
                <w:szCs w:val="18"/>
              </w:rPr>
              <w:t>集成电路开发与销售</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rPr>
                <w:rFonts w:ascii="宋体" w:eastAsia="宋体" w:hAnsi="宋体" w:cs="宋体"/>
                <w:color w:val="000000" w:themeColor="text1"/>
                <w:sz w:val="18"/>
                <w:szCs w:val="18"/>
              </w:rPr>
            </w:pPr>
            <w:r w:rsidRPr="000A1D01">
              <w:rPr>
                <w:rFonts w:ascii="宋体" w:eastAsia="宋体" w:hAnsi="宋体" w:cs="宋体"/>
                <w:color w:val="000000" w:themeColor="text1"/>
                <w:sz w:val="18"/>
                <w:szCs w:val="18"/>
              </w:rPr>
              <w:t>73,684,211.00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color w:val="000000" w:themeColor="text1"/>
                <w:sz w:val="18"/>
                <w:szCs w:val="18"/>
              </w:rPr>
            </w:pPr>
            <w:r w:rsidRPr="000A1D01">
              <w:rPr>
                <w:rFonts w:ascii="宋体" w:eastAsia="宋体" w:hAnsi="宋体" w:cs="宋体"/>
                <w:color w:val="000000" w:themeColor="text1"/>
                <w:sz w:val="18"/>
                <w:szCs w:val="18"/>
              </w:rPr>
              <w:t>964,768,023.51</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C47992">
            <w:pPr>
              <w:spacing w:line="240" w:lineRule="exact"/>
              <w:jc w:val="right"/>
              <w:rPr>
                <w:rFonts w:ascii="宋体" w:eastAsia="宋体" w:hAnsi="宋体" w:cs="宋体"/>
                <w:color w:val="000000" w:themeColor="text1"/>
                <w:sz w:val="18"/>
                <w:szCs w:val="18"/>
              </w:rPr>
            </w:pPr>
            <w:r w:rsidRPr="000A1D01">
              <w:rPr>
                <w:rFonts w:ascii="宋体" w:eastAsia="宋体" w:hAnsi="宋体" w:cs="宋体"/>
                <w:color w:val="000000" w:themeColor="text1"/>
                <w:sz w:val="18"/>
                <w:szCs w:val="18"/>
              </w:rPr>
              <w:t>905,206,547.68</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A2119D">
            <w:pPr>
              <w:spacing w:line="240" w:lineRule="exact"/>
              <w:jc w:val="right"/>
              <w:rPr>
                <w:rFonts w:ascii="宋体" w:eastAsia="宋体" w:hAnsi="宋体" w:cs="宋体"/>
                <w:color w:val="000000" w:themeColor="text1"/>
                <w:sz w:val="18"/>
                <w:szCs w:val="18"/>
              </w:rPr>
            </w:pPr>
            <w:r w:rsidRPr="000A1D01">
              <w:rPr>
                <w:rFonts w:ascii="宋体" w:eastAsia="宋体" w:hAnsi="宋体" w:cs="宋体"/>
                <w:color w:val="000000" w:themeColor="text1"/>
                <w:sz w:val="18"/>
                <w:szCs w:val="18"/>
              </w:rPr>
              <w:t>130,134,420.61</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C47992">
            <w:pPr>
              <w:spacing w:line="240" w:lineRule="exact"/>
              <w:jc w:val="right"/>
              <w:rPr>
                <w:rFonts w:ascii="宋体" w:eastAsia="宋体" w:hAnsi="宋体" w:cs="宋体"/>
                <w:color w:val="000000" w:themeColor="text1"/>
                <w:sz w:val="18"/>
                <w:szCs w:val="18"/>
              </w:rPr>
            </w:pPr>
            <w:r w:rsidRPr="000A1D01">
              <w:rPr>
                <w:rFonts w:ascii="宋体" w:eastAsia="宋体" w:hAnsi="宋体" w:cs="宋体"/>
                <w:color w:val="000000" w:themeColor="text1"/>
                <w:sz w:val="18"/>
                <w:szCs w:val="18"/>
              </w:rPr>
              <w:t>-105,109,673.85</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Pr="000A1D01" w:rsidRDefault="00C47992">
            <w:pPr>
              <w:spacing w:line="240" w:lineRule="exact"/>
              <w:jc w:val="right"/>
              <w:rPr>
                <w:rFonts w:ascii="宋体" w:eastAsia="宋体" w:hAnsi="宋体" w:cs="宋体"/>
                <w:color w:val="000000" w:themeColor="text1"/>
                <w:sz w:val="18"/>
                <w:szCs w:val="18"/>
              </w:rPr>
            </w:pPr>
            <w:r w:rsidRPr="000A1D01">
              <w:rPr>
                <w:rFonts w:ascii="宋体" w:eastAsia="宋体" w:hAnsi="宋体" w:cs="宋体"/>
                <w:color w:val="000000" w:themeColor="text1"/>
                <w:sz w:val="18"/>
                <w:szCs w:val="18"/>
              </w:rPr>
              <w:t>-97,216,797.52</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报告期内取得和处置子公司的情况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报告期内取得和处置子公司方式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对整体生产经营和业绩的影响</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北京聚能合源科技有限公司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股权收购</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不会对公司本期和未来财务状况、经营成果和现金流造成重大影响</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四川德芯源电子科技有限公司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股权出售</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不会对公司本期和未来财务状况、经营成果和现金流造成重大影响</w:t>
            </w:r>
          </w:p>
        </w:tc>
      </w:tr>
    </w:tbl>
    <w:p w:rsidR="00A2119D" w:rsidRPr="00DC12AD" w:rsidRDefault="00A2119D" w:rsidP="00E0661D">
      <w:pPr>
        <w:pStyle w:val="a3"/>
        <w:spacing w:before="0" w:beforeAutospacing="0" w:after="0" w:afterAutospacing="0" w:line="400" w:lineRule="exact"/>
        <w:jc w:val="both"/>
        <w:divId w:val="179318408"/>
        <w:rPr>
          <w:sz w:val="18"/>
          <w:szCs w:val="18"/>
        </w:rPr>
      </w:pPr>
      <w:r w:rsidRPr="00DC12AD">
        <w:rPr>
          <w:rStyle w:val="a4"/>
          <w:rFonts w:hint="eastAsia"/>
          <w:sz w:val="18"/>
          <w:szCs w:val="18"/>
        </w:rPr>
        <w:t>单个子公司经营业绩出现大幅波动，且对合并经营业绩造成重大影响的说明：</w:t>
      </w:r>
    </w:p>
    <w:p w:rsidR="00A2119D" w:rsidRPr="00CB5CA2" w:rsidRDefault="00A2119D" w:rsidP="00CB5CA2">
      <w:pPr>
        <w:pStyle w:val="a3"/>
        <w:spacing w:before="0" w:beforeAutospacing="0" w:after="0" w:afterAutospacing="0" w:line="360" w:lineRule="auto"/>
        <w:ind w:firstLine="561"/>
        <w:jc w:val="both"/>
        <w:divId w:val="179318408"/>
        <w:rPr>
          <w:sz w:val="21"/>
          <w:szCs w:val="21"/>
        </w:rPr>
      </w:pPr>
      <w:r w:rsidRPr="00CB5CA2">
        <w:rPr>
          <w:rFonts w:hint="eastAsia"/>
          <w:color w:val="000000"/>
          <w:sz w:val="21"/>
          <w:szCs w:val="21"/>
        </w:rPr>
        <w:t>报告期内，沈阳含能金属材料制造有限公司营业收入相比上年增长125.61%，净利润相比上年增长228.09%。主要原因为：1、本期军品订单量增长；2、上年产品审价调整对营业收入和净利润影响较大。</w:t>
      </w:r>
    </w:p>
    <w:p w:rsidR="00A2119D" w:rsidRDefault="00A2119D">
      <w:pPr>
        <w:pStyle w:val="a3"/>
        <w:spacing w:before="0" w:beforeAutospacing="0" w:after="0" w:afterAutospacing="0" w:line="560" w:lineRule="atLeast"/>
        <w:ind w:firstLine="560"/>
        <w:jc w:val="both"/>
        <w:divId w:val="179318408"/>
      </w:pPr>
      <w:r>
        <w:rPr>
          <w:rStyle w:val="a4"/>
          <w:rFonts w:hint="eastAsia"/>
        </w:rPr>
        <w:t>投资收益中占比10%以上的股权投资项目基本情况：</w:t>
      </w:r>
    </w:p>
    <w:tbl>
      <w:tblPr>
        <w:tblW w:w="0" w:type="auto"/>
        <w:tblCellMar>
          <w:left w:w="0" w:type="dxa"/>
          <w:right w:w="0" w:type="dxa"/>
        </w:tblCellMar>
        <w:tblLook w:val="04A0" w:firstRow="1" w:lastRow="0" w:firstColumn="1" w:lastColumn="0" w:noHBand="0" w:noVBand="1"/>
      </w:tblPr>
      <w:tblGrid>
        <w:gridCol w:w="2567"/>
        <w:gridCol w:w="1134"/>
        <w:gridCol w:w="1134"/>
        <w:gridCol w:w="2442"/>
        <w:gridCol w:w="1810"/>
      </w:tblGrid>
      <w:tr w:rsidR="00A2119D" w:rsidRPr="00DC12AD" w:rsidTr="00E0661D">
        <w:trPr>
          <w:divId w:val="179318408"/>
          <w:trHeight w:val="567"/>
        </w:trPr>
        <w:tc>
          <w:tcPr>
            <w:tcW w:w="2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联营企业名称</w:t>
            </w:r>
          </w:p>
        </w:tc>
        <w:tc>
          <w:tcPr>
            <w:tcW w:w="1134"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主要经营地</w:t>
            </w:r>
          </w:p>
        </w:tc>
        <w:tc>
          <w:tcPr>
            <w:tcW w:w="1134"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注册地</w:t>
            </w:r>
          </w:p>
        </w:tc>
        <w:tc>
          <w:tcPr>
            <w:tcW w:w="2442"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业务性质</w:t>
            </w:r>
          </w:p>
        </w:tc>
        <w:tc>
          <w:tcPr>
            <w:tcW w:w="181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持股比例（</w:t>
            </w:r>
            <w:r w:rsidRPr="00DC12AD">
              <w:rPr>
                <w:rFonts w:ascii="宋体" w:eastAsia="宋体" w:hAnsi="宋体" w:cs="Times New Roman"/>
                <w:color w:val="000000"/>
                <w:sz w:val="18"/>
                <w:szCs w:val="18"/>
              </w:rPr>
              <w:t>%</w:t>
            </w:r>
            <w:r w:rsidRPr="00DC12AD">
              <w:rPr>
                <w:rFonts w:ascii="宋体" w:eastAsia="宋体" w:hAnsi="宋体" w:hint="eastAsia"/>
                <w:color w:val="000000"/>
                <w:sz w:val="18"/>
                <w:szCs w:val="18"/>
              </w:rPr>
              <w:t>）</w:t>
            </w:r>
          </w:p>
        </w:tc>
      </w:tr>
      <w:tr w:rsidR="00A2119D" w:rsidRPr="00DC12AD" w:rsidTr="00E0661D">
        <w:trPr>
          <w:divId w:val="179318408"/>
          <w:trHeight w:val="567"/>
        </w:trPr>
        <w:tc>
          <w:tcPr>
            <w:tcW w:w="256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rPr>
                <w:rFonts w:ascii="宋体" w:eastAsia="宋体" w:hAnsi="宋体"/>
                <w:color w:val="000000"/>
                <w:sz w:val="18"/>
                <w:szCs w:val="18"/>
              </w:rPr>
            </w:pPr>
            <w:r w:rsidRPr="00DC12AD">
              <w:rPr>
                <w:rFonts w:ascii="宋体" w:eastAsia="宋体" w:hAnsi="宋体" w:hint="eastAsia"/>
                <w:color w:val="000000"/>
                <w:sz w:val="18"/>
                <w:szCs w:val="18"/>
              </w:rPr>
              <w:t>苏州锴威特半导体股份有限公司</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苏州</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苏州</w:t>
            </w:r>
          </w:p>
        </w:tc>
        <w:tc>
          <w:tcPr>
            <w:tcW w:w="244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集成电路开发与销售</w:t>
            </w:r>
          </w:p>
        </w:tc>
        <w:tc>
          <w:tcPr>
            <w:tcW w:w="1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A2119D" w:rsidRPr="00DC12AD" w:rsidRDefault="00A2119D">
            <w:pPr>
              <w:jc w:val="right"/>
              <w:rPr>
                <w:rFonts w:ascii="宋体" w:eastAsia="宋体" w:hAnsi="宋体"/>
                <w:color w:val="000000"/>
                <w:sz w:val="18"/>
                <w:szCs w:val="18"/>
              </w:rPr>
            </w:pPr>
            <w:r w:rsidRPr="00DC12AD">
              <w:rPr>
                <w:rFonts w:ascii="宋体" w:eastAsia="宋体" w:hAnsi="宋体" w:hint="eastAsia"/>
                <w:color w:val="000000"/>
                <w:sz w:val="18"/>
                <w:szCs w:val="18"/>
              </w:rPr>
              <w:t>14.32%</w:t>
            </w:r>
          </w:p>
        </w:tc>
      </w:tr>
      <w:tr w:rsidR="00A2119D" w:rsidRPr="00DC12AD" w:rsidTr="00E0661D">
        <w:trPr>
          <w:divId w:val="179318408"/>
          <w:trHeight w:val="567"/>
        </w:trPr>
        <w:tc>
          <w:tcPr>
            <w:tcW w:w="256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rPr>
                <w:rFonts w:ascii="宋体" w:eastAsia="宋体" w:hAnsi="宋体"/>
                <w:color w:val="000000"/>
                <w:sz w:val="18"/>
                <w:szCs w:val="18"/>
              </w:rPr>
            </w:pPr>
            <w:r w:rsidRPr="00DC12AD">
              <w:rPr>
                <w:rFonts w:ascii="宋体" w:eastAsia="宋体" w:hAnsi="宋体" w:hint="eastAsia"/>
                <w:color w:val="000000"/>
                <w:sz w:val="18"/>
                <w:szCs w:val="18"/>
              </w:rPr>
              <w:t>北京惠风联合防务科技有限公司</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北京</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北京</w:t>
            </w:r>
          </w:p>
        </w:tc>
        <w:tc>
          <w:tcPr>
            <w:tcW w:w="244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专用设备制造</w:t>
            </w:r>
          </w:p>
        </w:tc>
        <w:tc>
          <w:tcPr>
            <w:tcW w:w="1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A2119D" w:rsidRPr="00DC12AD" w:rsidRDefault="00A2119D">
            <w:pPr>
              <w:jc w:val="right"/>
              <w:rPr>
                <w:rFonts w:ascii="宋体" w:eastAsia="宋体" w:hAnsi="宋体"/>
                <w:color w:val="000000"/>
                <w:sz w:val="18"/>
                <w:szCs w:val="18"/>
              </w:rPr>
            </w:pPr>
            <w:r w:rsidRPr="00DC12AD">
              <w:rPr>
                <w:rFonts w:ascii="宋体" w:eastAsia="宋体" w:hAnsi="宋体" w:hint="eastAsia"/>
                <w:color w:val="000000"/>
                <w:sz w:val="18"/>
                <w:szCs w:val="18"/>
              </w:rPr>
              <w:t>18.92%</w:t>
            </w:r>
          </w:p>
        </w:tc>
      </w:tr>
      <w:tr w:rsidR="00A2119D" w:rsidRPr="00DC12AD" w:rsidTr="00E0661D">
        <w:trPr>
          <w:divId w:val="179318408"/>
          <w:trHeight w:val="567"/>
        </w:trPr>
        <w:tc>
          <w:tcPr>
            <w:tcW w:w="2567"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rPr>
                <w:rFonts w:ascii="宋体" w:eastAsia="宋体" w:hAnsi="宋体"/>
                <w:color w:val="000000"/>
                <w:sz w:val="18"/>
                <w:szCs w:val="18"/>
              </w:rPr>
            </w:pPr>
            <w:r w:rsidRPr="00DC12AD">
              <w:rPr>
                <w:rFonts w:ascii="宋体" w:eastAsia="宋体" w:hAnsi="宋体" w:hint="eastAsia"/>
                <w:color w:val="000000"/>
                <w:sz w:val="18"/>
                <w:szCs w:val="18"/>
              </w:rPr>
              <w:t>芜湖华沅微电子有限公司</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芜湖</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芜湖</w:t>
            </w:r>
          </w:p>
        </w:tc>
        <w:tc>
          <w:tcPr>
            <w:tcW w:w="244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A2119D" w:rsidRPr="00DC12AD" w:rsidRDefault="00A2119D">
            <w:pPr>
              <w:jc w:val="center"/>
              <w:rPr>
                <w:rFonts w:ascii="宋体" w:eastAsia="宋体" w:hAnsi="宋体"/>
                <w:color w:val="000000"/>
                <w:sz w:val="18"/>
                <w:szCs w:val="18"/>
              </w:rPr>
            </w:pPr>
            <w:r w:rsidRPr="00DC12AD">
              <w:rPr>
                <w:rFonts w:ascii="宋体" w:eastAsia="宋体" w:hAnsi="宋体" w:hint="eastAsia"/>
                <w:color w:val="000000"/>
                <w:sz w:val="18"/>
                <w:szCs w:val="18"/>
              </w:rPr>
              <w:t>集成电路开发与销售</w:t>
            </w:r>
          </w:p>
        </w:tc>
        <w:tc>
          <w:tcPr>
            <w:tcW w:w="1810"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A2119D" w:rsidRPr="00DC12AD" w:rsidRDefault="00A2119D">
            <w:pPr>
              <w:jc w:val="right"/>
              <w:rPr>
                <w:rFonts w:ascii="宋体" w:eastAsia="宋体" w:hAnsi="宋体"/>
                <w:color w:val="000000"/>
                <w:sz w:val="18"/>
                <w:szCs w:val="18"/>
              </w:rPr>
            </w:pPr>
            <w:r w:rsidRPr="00DC12AD">
              <w:rPr>
                <w:rFonts w:ascii="宋体" w:eastAsia="宋体" w:hAnsi="宋体" w:hint="eastAsia"/>
                <w:color w:val="000000"/>
                <w:sz w:val="18"/>
                <w:szCs w:val="18"/>
              </w:rPr>
              <w:t>16.67%</w:t>
            </w:r>
          </w:p>
        </w:tc>
      </w:tr>
    </w:tbl>
    <w:p w:rsidR="00A27D66" w:rsidRDefault="00A2119D" w:rsidP="00DC12AD">
      <w:pPr>
        <w:pStyle w:val="a3"/>
        <w:spacing w:before="0" w:beforeAutospacing="0" w:after="0" w:afterAutospacing="0" w:line="560" w:lineRule="exact"/>
        <w:jc w:val="both"/>
        <w:rPr>
          <w:b/>
          <w:bCs/>
        </w:rPr>
      </w:pPr>
      <w:bookmarkStart w:id="49" w:name="_Toc988937"/>
      <w:r>
        <w:rPr>
          <w:b/>
          <w:bCs/>
        </w:rPr>
        <w:t>十、公司控制的结构化主体情况</w:t>
      </w:r>
      <w:bookmarkEnd w:id="49"/>
    </w:p>
    <w:p w:rsidR="00A27D66" w:rsidRDefault="00A2119D" w:rsidP="00DC12AD">
      <w:pPr>
        <w:spacing w:line="56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rsidP="00DC12AD">
      <w:pPr>
        <w:pStyle w:val="a3"/>
        <w:spacing w:before="0" w:beforeAutospacing="0" w:after="0" w:afterAutospacing="0" w:line="560" w:lineRule="exact"/>
        <w:jc w:val="both"/>
        <w:rPr>
          <w:b/>
          <w:bCs/>
        </w:rPr>
      </w:pPr>
      <w:bookmarkStart w:id="50" w:name="_Toc988938"/>
      <w:r>
        <w:rPr>
          <w:b/>
          <w:bCs/>
        </w:rPr>
        <w:t>十一、公司未来发展的展望</w:t>
      </w:r>
      <w:bookmarkEnd w:id="50"/>
    </w:p>
    <w:p w:rsidR="00A2119D" w:rsidRPr="00446C77" w:rsidRDefault="00A2119D" w:rsidP="00CB5CA2">
      <w:pPr>
        <w:pStyle w:val="a3"/>
        <w:spacing w:before="0" w:beforeAutospacing="0" w:after="0" w:afterAutospacing="0" w:line="360" w:lineRule="auto"/>
        <w:ind w:firstLine="560"/>
        <w:jc w:val="both"/>
        <w:divId w:val="577177246"/>
        <w:rPr>
          <w:rFonts w:cs="Calibri"/>
          <w:b/>
          <w:sz w:val="21"/>
          <w:szCs w:val="21"/>
        </w:rPr>
      </w:pPr>
      <w:bookmarkStart w:id="51" w:name="OLE_LINK3"/>
      <w:bookmarkStart w:id="52" w:name="OLE_LINK4"/>
      <w:r w:rsidRPr="00446C77">
        <w:rPr>
          <w:rFonts w:cs="Calibri" w:hint="eastAsia"/>
          <w:b/>
          <w:sz w:val="21"/>
          <w:szCs w:val="21"/>
        </w:rPr>
        <w:t>（一）行业格局和趋势</w:t>
      </w:r>
    </w:p>
    <w:p w:rsidR="00A2119D" w:rsidRPr="00206303" w:rsidRDefault="00A2119D" w:rsidP="00CB5CA2">
      <w:pPr>
        <w:pStyle w:val="a3"/>
        <w:spacing w:before="0" w:beforeAutospacing="0" w:after="0" w:afterAutospacing="0" w:line="360" w:lineRule="auto"/>
        <w:ind w:firstLine="560"/>
        <w:jc w:val="both"/>
        <w:divId w:val="577177246"/>
        <w:rPr>
          <w:rFonts w:cs="Calibri"/>
          <w:sz w:val="21"/>
          <w:szCs w:val="21"/>
        </w:rPr>
      </w:pPr>
      <w:r w:rsidRPr="00206303">
        <w:rPr>
          <w:rFonts w:cs="Calibri" w:hint="eastAsia"/>
          <w:color w:val="000000"/>
          <w:sz w:val="21"/>
          <w:szCs w:val="21"/>
        </w:rPr>
        <w:lastRenderedPageBreak/>
        <w:t>军工行业作为国防建设的重要支撑，直接关系到国家的安全和国防实力，具有高度的战略性和敏感性。近年来，随着全球安全形势的变化和军事实力竞争的加剧，军工行业的发展备受关注。随着人工智能、网络信息、认知计算等前沿技术的不断发展和应用，军工行业的技术创新将加速推进。同时，国家对军工行业的支持力度不断加强，通过一系列军品扶持政策，为军工企业的生存与发展创造了良好的环境与条件。《2025年国务院政府工作报告》提及，2025年要“全力打好实现建军一百年奋斗目标攻坚战”，“抓好军队建设‘十四五’规划收官”，在这两个时点下我国国防建设目标明确，需求确定性较高，将对2025年以及未来几年军工行业的需求形成指引，有利于军工行业基本面进入上行通道。同时，近年来，</w:t>
      </w:r>
      <w:r w:rsidRPr="00206303">
        <w:rPr>
          <w:rFonts w:cs="Calibri" w:hint="eastAsia"/>
          <w:sz w:val="21"/>
          <w:szCs w:val="21"/>
        </w:rPr>
        <w:t>随着我国军费预算的同比稳步增长，为国防装备的发展提供了支撑，也为公司军工业务的拓展带来了机遇。</w:t>
      </w:r>
    </w:p>
    <w:p w:rsidR="00A2119D" w:rsidRPr="000A1D01" w:rsidRDefault="00A2119D" w:rsidP="00CB5CA2">
      <w:pPr>
        <w:pStyle w:val="a3"/>
        <w:spacing w:before="0" w:beforeAutospacing="0" w:after="0" w:afterAutospacing="0" w:line="360" w:lineRule="auto"/>
        <w:ind w:firstLine="560"/>
        <w:jc w:val="both"/>
        <w:divId w:val="577177246"/>
        <w:rPr>
          <w:rFonts w:cs="Calibri"/>
          <w:sz w:val="21"/>
          <w:szCs w:val="21"/>
        </w:rPr>
      </w:pPr>
      <w:r w:rsidRPr="000A1D01">
        <w:rPr>
          <w:rFonts w:cs="Calibri" w:hint="eastAsia"/>
          <w:sz w:val="21"/>
          <w:szCs w:val="21"/>
        </w:rPr>
        <w:t>公司所处军工细分行业为电源及相关产品、高性能特种合金材料制品行业，</w:t>
      </w:r>
      <w:r w:rsidR="00632E63" w:rsidRPr="000A1D01">
        <w:rPr>
          <w:rFonts w:cs="Calibri" w:hint="eastAsia"/>
          <w:sz w:val="21"/>
          <w:szCs w:val="21"/>
        </w:rPr>
        <w:t>主要服务于军工总体单位及科研院所，受客户订单下达的节奏影响较大。</w:t>
      </w:r>
    </w:p>
    <w:p w:rsidR="00A2119D" w:rsidRPr="000C1FE6" w:rsidRDefault="00A2119D" w:rsidP="00CB5CA2">
      <w:pPr>
        <w:pStyle w:val="a3"/>
        <w:spacing w:before="0" w:beforeAutospacing="0" w:after="0" w:afterAutospacing="0" w:line="360" w:lineRule="auto"/>
        <w:ind w:firstLine="660"/>
        <w:jc w:val="both"/>
        <w:divId w:val="577177246"/>
        <w:rPr>
          <w:rFonts w:cs="Calibri"/>
          <w:sz w:val="21"/>
          <w:szCs w:val="21"/>
        </w:rPr>
      </w:pPr>
      <w:r w:rsidRPr="000C1FE6">
        <w:rPr>
          <w:rFonts w:cs="Calibri" w:hint="eastAsia"/>
          <w:sz w:val="21"/>
          <w:szCs w:val="21"/>
        </w:rPr>
        <w:t>1、</w:t>
      </w:r>
      <w:r w:rsidRPr="000C1FE6">
        <w:rPr>
          <w:rStyle w:val="a4"/>
          <w:rFonts w:cs="Calibri" w:hint="eastAsia"/>
          <w:sz w:val="21"/>
          <w:szCs w:val="21"/>
        </w:rPr>
        <w:t>电源行业</w:t>
      </w:r>
    </w:p>
    <w:p w:rsidR="00A2119D" w:rsidRPr="00206303" w:rsidRDefault="00A2119D" w:rsidP="00CB5CA2">
      <w:pPr>
        <w:pStyle w:val="a3"/>
        <w:shd w:val="clear" w:color="auto" w:fill="FFFFFF"/>
        <w:spacing w:before="0" w:beforeAutospacing="0" w:after="0" w:afterAutospacing="0" w:line="360" w:lineRule="auto"/>
        <w:ind w:firstLine="560"/>
        <w:jc w:val="both"/>
        <w:divId w:val="577177246"/>
        <w:rPr>
          <w:sz w:val="21"/>
          <w:szCs w:val="21"/>
        </w:rPr>
      </w:pPr>
      <w:r w:rsidRPr="000A1D01">
        <w:rPr>
          <w:rFonts w:hint="eastAsia"/>
          <w:sz w:val="21"/>
          <w:szCs w:val="21"/>
        </w:rPr>
        <w:t>电源产业在欧美发达国家技术较为成熟，中国市场发展相对较晚。近年来，随着国际产业转移、中国信息化建设的不断深入以及航空、航天及军工产业的持续发展，下游行业快速发展对电源行业的拉动，中国电源产业市场迎来了商机。与工业领域相比，军工领域电源有以下几个区别：一是在产品质量上有更高的要求，二是在新一代武器的研制上对技术指标要求更为严苛，三是全国产化趋势。</w:t>
      </w:r>
    </w:p>
    <w:p w:rsidR="00A2119D" w:rsidRPr="00206303" w:rsidRDefault="00A2119D" w:rsidP="00CB5CA2">
      <w:pPr>
        <w:pStyle w:val="a3"/>
        <w:shd w:val="clear" w:color="auto" w:fill="FFFFFF"/>
        <w:spacing w:before="0" w:beforeAutospacing="0" w:after="0" w:afterAutospacing="0" w:line="360" w:lineRule="auto"/>
        <w:ind w:firstLine="560"/>
        <w:jc w:val="both"/>
        <w:divId w:val="577177246"/>
        <w:rPr>
          <w:sz w:val="21"/>
          <w:szCs w:val="21"/>
        </w:rPr>
      </w:pPr>
      <w:r w:rsidRPr="00206303">
        <w:rPr>
          <w:rFonts w:hint="eastAsia"/>
          <w:sz w:val="21"/>
          <w:szCs w:val="21"/>
        </w:rPr>
        <w:t>国内电源企业主要分布在珠江三角洲、长江三角洲、北京及周边地区、武汉、西安、成都等地。中国电源行业已形成了高度市场化的状态，生产电源的厂商数量众多，市场集中度较低，且企业规模差别较大。目前的行业竞争格局是以几家主要的电源模块厂家在全国竞争为主，一些小公司及进口品牌参与区域性的竞争为辅，形成了高端厂家较少，中端厂家有一定数量，低端厂家较多的金字塔型竞争格局。</w:t>
      </w:r>
    </w:p>
    <w:p w:rsidR="00A2119D" w:rsidRPr="00206303" w:rsidRDefault="00A2119D" w:rsidP="00CB5CA2">
      <w:pPr>
        <w:pStyle w:val="a3"/>
        <w:shd w:val="clear" w:color="auto" w:fill="FFFFFF"/>
        <w:spacing w:before="0" w:beforeAutospacing="0" w:after="0" w:afterAutospacing="0" w:line="360" w:lineRule="auto"/>
        <w:ind w:firstLine="560"/>
        <w:jc w:val="both"/>
        <w:divId w:val="577177246"/>
        <w:rPr>
          <w:sz w:val="21"/>
          <w:szCs w:val="21"/>
        </w:rPr>
      </w:pPr>
      <w:r w:rsidRPr="00206303">
        <w:rPr>
          <w:rFonts w:hint="eastAsia"/>
          <w:sz w:val="21"/>
          <w:szCs w:val="21"/>
        </w:rPr>
        <w:t>升华电源是国内领先的特种电源供应商，拥有十余年的深厚技术基础沉淀，有较高的技术水平和较强的自主创新能力，是军工电源类企业中产品类型较丰富的企业，产品具有较强竞争力，在行业内具有一定知名度，随着行业发展，公司有望继续从中获益。</w:t>
      </w:r>
    </w:p>
    <w:p w:rsidR="00A2119D" w:rsidRPr="00206303" w:rsidRDefault="00A2119D" w:rsidP="00CB5CA2">
      <w:pPr>
        <w:pStyle w:val="a3"/>
        <w:spacing w:before="0" w:beforeAutospacing="0" w:after="0" w:afterAutospacing="0" w:line="360" w:lineRule="auto"/>
        <w:ind w:firstLine="660"/>
        <w:jc w:val="both"/>
        <w:divId w:val="577177246"/>
        <w:rPr>
          <w:rFonts w:cs="Calibri"/>
          <w:sz w:val="21"/>
          <w:szCs w:val="21"/>
        </w:rPr>
      </w:pPr>
      <w:r w:rsidRPr="00206303">
        <w:rPr>
          <w:rStyle w:val="a4"/>
          <w:rFonts w:cs="Calibri" w:hint="eastAsia"/>
          <w:sz w:val="21"/>
          <w:szCs w:val="21"/>
        </w:rPr>
        <w:t>2、高性能特种合金制品行业</w:t>
      </w:r>
    </w:p>
    <w:p w:rsidR="00A2119D" w:rsidRPr="00206303" w:rsidRDefault="00A2119D" w:rsidP="00CB5CA2">
      <w:pPr>
        <w:pStyle w:val="a3"/>
        <w:spacing w:before="0" w:beforeAutospacing="0" w:after="0" w:afterAutospacing="0" w:line="360" w:lineRule="auto"/>
        <w:ind w:firstLine="660"/>
        <w:jc w:val="both"/>
        <w:divId w:val="577177246"/>
        <w:rPr>
          <w:rFonts w:cs="Calibri"/>
          <w:sz w:val="21"/>
          <w:szCs w:val="21"/>
        </w:rPr>
      </w:pPr>
      <w:r w:rsidRPr="00206303">
        <w:rPr>
          <w:rStyle w:val="a4"/>
          <w:rFonts w:cs="Calibri" w:hint="eastAsia"/>
          <w:sz w:val="21"/>
          <w:szCs w:val="21"/>
        </w:rPr>
        <w:t>（1）预制破片业务</w:t>
      </w:r>
    </w:p>
    <w:p w:rsidR="00A2119D" w:rsidRPr="000A1D01" w:rsidRDefault="00D0583B" w:rsidP="00CB5CA2">
      <w:pPr>
        <w:pStyle w:val="a3"/>
        <w:shd w:val="clear" w:color="auto" w:fill="FFFFFF"/>
        <w:spacing w:before="0" w:beforeAutospacing="0" w:after="0" w:afterAutospacing="0" w:line="360" w:lineRule="auto"/>
        <w:ind w:firstLine="560"/>
        <w:jc w:val="both"/>
        <w:divId w:val="577177246"/>
        <w:rPr>
          <w:sz w:val="21"/>
          <w:szCs w:val="21"/>
        </w:rPr>
      </w:pPr>
      <w:r w:rsidRPr="000A1D01">
        <w:rPr>
          <w:rFonts w:hint="eastAsia"/>
          <w:sz w:val="21"/>
          <w:szCs w:val="21"/>
        </w:rPr>
        <w:t>近年来，随着我国国防投入不断增加，整体军品行业体量较大。公司作为</w:t>
      </w:r>
      <w:r w:rsidR="00A2119D" w:rsidRPr="000A1D01">
        <w:rPr>
          <w:rFonts w:hint="eastAsia"/>
          <w:sz w:val="21"/>
          <w:szCs w:val="21"/>
        </w:rPr>
        <w:t>预制破片重要供应商，未来军品业务收入有望继续保持稳定</w:t>
      </w:r>
      <w:r w:rsidRPr="000A1D01">
        <w:rPr>
          <w:rFonts w:hint="eastAsia"/>
          <w:sz w:val="21"/>
          <w:szCs w:val="21"/>
        </w:rPr>
        <w:t>增长</w:t>
      </w:r>
      <w:r w:rsidR="00A2119D" w:rsidRPr="000A1D01">
        <w:rPr>
          <w:rFonts w:hint="eastAsia"/>
          <w:sz w:val="21"/>
          <w:szCs w:val="21"/>
        </w:rPr>
        <w:t>；同时随着国家刺激经济发展的各类利好政策出台，也有利于公司深化拓展民品市场份额。</w:t>
      </w:r>
    </w:p>
    <w:p w:rsidR="00A2119D" w:rsidRPr="000A1D01" w:rsidRDefault="00A2119D" w:rsidP="00CB5CA2">
      <w:pPr>
        <w:pStyle w:val="a3"/>
        <w:spacing w:before="0" w:beforeAutospacing="0" w:after="0" w:afterAutospacing="0" w:line="360" w:lineRule="auto"/>
        <w:ind w:firstLine="660"/>
        <w:jc w:val="both"/>
        <w:divId w:val="577177246"/>
        <w:rPr>
          <w:rFonts w:cs="Calibri"/>
          <w:sz w:val="21"/>
          <w:szCs w:val="21"/>
        </w:rPr>
      </w:pPr>
      <w:r w:rsidRPr="000A1D01">
        <w:rPr>
          <w:rStyle w:val="a4"/>
          <w:rFonts w:cs="Calibri" w:hint="eastAsia"/>
          <w:sz w:val="21"/>
          <w:szCs w:val="21"/>
        </w:rPr>
        <w:t>（2）非晶合金业务。</w:t>
      </w:r>
    </w:p>
    <w:p w:rsidR="00A2119D" w:rsidRPr="000A1D01" w:rsidRDefault="00A2119D" w:rsidP="00CB5CA2">
      <w:pPr>
        <w:pStyle w:val="a3"/>
        <w:spacing w:before="0" w:beforeAutospacing="0" w:after="0" w:afterAutospacing="0" w:line="360" w:lineRule="auto"/>
        <w:ind w:firstLine="660"/>
        <w:jc w:val="both"/>
        <w:divId w:val="577177246"/>
        <w:rPr>
          <w:rFonts w:cs="Calibri"/>
          <w:sz w:val="21"/>
          <w:szCs w:val="21"/>
        </w:rPr>
      </w:pPr>
      <w:r w:rsidRPr="000A1D01">
        <w:rPr>
          <w:rFonts w:cs="Calibri" w:hint="eastAsia"/>
          <w:sz w:val="21"/>
          <w:szCs w:val="21"/>
        </w:rPr>
        <w:lastRenderedPageBreak/>
        <w:t>非晶合金材料是一类先进活性材料，具有高强度、高硬度</w:t>
      </w:r>
      <w:r w:rsidR="00D0583B" w:rsidRPr="000A1D01">
        <w:rPr>
          <w:rFonts w:cs="Calibri" w:hint="eastAsia"/>
          <w:sz w:val="21"/>
          <w:szCs w:val="21"/>
        </w:rPr>
        <w:t>及燃爆</w:t>
      </w:r>
      <w:r w:rsidR="00966FE2" w:rsidRPr="000A1D01">
        <w:rPr>
          <w:rFonts w:cs="Calibri" w:hint="eastAsia"/>
          <w:sz w:val="21"/>
          <w:szCs w:val="21"/>
        </w:rPr>
        <w:t>的特点，在国防领域对装备设计、打击能力具有颠覆性作用</w:t>
      </w:r>
      <w:r w:rsidRPr="000A1D01">
        <w:rPr>
          <w:rFonts w:cs="Calibri" w:hint="eastAsia"/>
          <w:sz w:val="21"/>
          <w:szCs w:val="21"/>
        </w:rPr>
        <w:t>。我国在非</w:t>
      </w:r>
      <w:proofErr w:type="gramStart"/>
      <w:r w:rsidRPr="000A1D01">
        <w:rPr>
          <w:rFonts w:cs="Calibri" w:hint="eastAsia"/>
          <w:sz w:val="21"/>
          <w:szCs w:val="21"/>
        </w:rPr>
        <w:t>晶</w:t>
      </w:r>
      <w:proofErr w:type="gramEnd"/>
      <w:r w:rsidRPr="000A1D01">
        <w:rPr>
          <w:rFonts w:cs="Calibri" w:hint="eastAsia"/>
          <w:sz w:val="21"/>
          <w:szCs w:val="21"/>
        </w:rPr>
        <w:t>合金领域的研发水平、产业</w:t>
      </w:r>
      <w:r w:rsidR="00966FE2" w:rsidRPr="000A1D01">
        <w:rPr>
          <w:rFonts w:cs="Calibri" w:hint="eastAsia"/>
          <w:sz w:val="21"/>
          <w:szCs w:val="21"/>
        </w:rPr>
        <w:t>规模均处于领先水平，但还缺少</w:t>
      </w:r>
      <w:r w:rsidRPr="000A1D01">
        <w:rPr>
          <w:rFonts w:cs="Calibri" w:hint="eastAsia"/>
          <w:sz w:val="21"/>
          <w:szCs w:val="21"/>
        </w:rPr>
        <w:t>龙头企业，部分设备和工艺亟待突破，在国内的产业化和配套应用程度不高。沈阳非晶为国内较早实现材料批量化生产和应用的制造商，未来将持续进行资源投入，进一步优化设计和工艺，提高产品良率和得率，提升整体竞争力。</w:t>
      </w:r>
    </w:p>
    <w:p w:rsidR="00A2119D" w:rsidRPr="000A1D01" w:rsidRDefault="00A2119D" w:rsidP="00CB5CA2">
      <w:pPr>
        <w:pStyle w:val="a3"/>
        <w:spacing w:before="0" w:beforeAutospacing="0" w:after="0" w:afterAutospacing="0" w:line="360" w:lineRule="auto"/>
        <w:ind w:firstLine="561"/>
        <w:jc w:val="both"/>
        <w:divId w:val="577177246"/>
        <w:rPr>
          <w:sz w:val="21"/>
          <w:szCs w:val="21"/>
        </w:rPr>
      </w:pPr>
      <w:r w:rsidRPr="000A1D01">
        <w:rPr>
          <w:rFonts w:hint="eastAsia"/>
          <w:sz w:val="21"/>
          <w:szCs w:val="21"/>
        </w:rPr>
        <w:t>未来公司将始终紧跟国家战略部署，围绕部队装备的更新换代和产品升级，着力开展新产品研发，进一步提升产品性能，努力提高在相应军品细分市场的占有率。</w:t>
      </w:r>
    </w:p>
    <w:p w:rsidR="00DC12AD" w:rsidRPr="00446C77" w:rsidRDefault="00A2119D" w:rsidP="00CB5CA2">
      <w:pPr>
        <w:pStyle w:val="a3"/>
        <w:spacing w:before="0" w:beforeAutospacing="0" w:after="0" w:afterAutospacing="0" w:line="360" w:lineRule="auto"/>
        <w:ind w:firstLine="562"/>
        <w:jc w:val="both"/>
        <w:divId w:val="577177246"/>
        <w:rPr>
          <w:rFonts w:cs="Calibri"/>
          <w:sz w:val="21"/>
          <w:szCs w:val="21"/>
        </w:rPr>
      </w:pPr>
      <w:r w:rsidRPr="00446C77">
        <w:rPr>
          <w:rStyle w:val="a4"/>
          <w:rFonts w:cs="Calibri" w:hint="eastAsia"/>
          <w:sz w:val="21"/>
          <w:szCs w:val="21"/>
        </w:rPr>
        <w:t>(二)公司发展战略</w:t>
      </w:r>
    </w:p>
    <w:p w:rsidR="00A2119D" w:rsidRPr="000A1D01" w:rsidRDefault="00DC12AD" w:rsidP="00CB5CA2">
      <w:pPr>
        <w:pStyle w:val="a3"/>
        <w:spacing w:before="0" w:beforeAutospacing="0" w:after="0" w:afterAutospacing="0" w:line="360" w:lineRule="auto"/>
        <w:ind w:firstLine="562"/>
        <w:jc w:val="both"/>
        <w:divId w:val="577177246"/>
        <w:rPr>
          <w:rFonts w:cs="Calibri"/>
          <w:sz w:val="21"/>
          <w:szCs w:val="21"/>
        </w:rPr>
      </w:pPr>
      <w:r w:rsidRPr="000A1D01">
        <w:rPr>
          <w:rFonts w:hint="eastAsia"/>
          <w:sz w:val="21"/>
          <w:szCs w:val="21"/>
        </w:rPr>
        <w:t>公司将坚定深耕军工产业，以两大业务板块为核心发展方向，坚持内生式增长与外延式扩张并举，以技术创新、提质增效为</w:t>
      </w:r>
      <w:proofErr w:type="gramStart"/>
      <w:r w:rsidRPr="000A1D01">
        <w:rPr>
          <w:rFonts w:hint="eastAsia"/>
          <w:sz w:val="21"/>
          <w:szCs w:val="21"/>
        </w:rPr>
        <w:t>主要内</w:t>
      </w:r>
      <w:proofErr w:type="gramEnd"/>
      <w:r w:rsidRPr="000A1D01">
        <w:rPr>
          <w:rFonts w:hint="eastAsia"/>
          <w:sz w:val="21"/>
          <w:szCs w:val="21"/>
        </w:rPr>
        <w:t>生动力，通过高标准的研发、制造和优质服务，成为细分领域的行业标杆；以投资并购、产业基金投资为主要外延手段，深入挖掘产业整合机会，完善军工产业布局；同时</w:t>
      </w:r>
      <w:r w:rsidR="000308F9" w:rsidRPr="000A1D01">
        <w:rPr>
          <w:rFonts w:hint="eastAsia"/>
          <w:sz w:val="21"/>
          <w:szCs w:val="21"/>
        </w:rPr>
        <w:t>适度</w:t>
      </w:r>
      <w:r w:rsidRPr="000A1D01">
        <w:rPr>
          <w:rFonts w:hint="eastAsia"/>
          <w:sz w:val="21"/>
          <w:szCs w:val="21"/>
        </w:rPr>
        <w:t>介入相应民品领域，不断提高公司发展质量和效益，努力将公司打造为综合实力较强、核心技术领先、投资价值突出的优质企业。</w:t>
      </w:r>
    </w:p>
    <w:p w:rsidR="00AE6F99" w:rsidRPr="00446C77" w:rsidRDefault="00A2119D" w:rsidP="00CB5CA2">
      <w:pPr>
        <w:pStyle w:val="a3"/>
        <w:spacing w:before="0" w:beforeAutospacing="0" w:after="0" w:afterAutospacing="0" w:line="360" w:lineRule="auto"/>
        <w:jc w:val="both"/>
        <w:divId w:val="577177246"/>
        <w:rPr>
          <w:rFonts w:cs="Calibri"/>
          <w:b/>
          <w:sz w:val="21"/>
          <w:szCs w:val="21"/>
        </w:rPr>
      </w:pPr>
      <w:r w:rsidRPr="000A1D01">
        <w:rPr>
          <w:rFonts w:cs="Calibri" w:hint="eastAsia"/>
          <w:sz w:val="21"/>
          <w:szCs w:val="21"/>
        </w:rPr>
        <w:t xml:space="preserve">  </w:t>
      </w:r>
      <w:r w:rsidRPr="00446C77">
        <w:rPr>
          <w:rFonts w:cs="Calibri" w:hint="eastAsia"/>
          <w:b/>
          <w:sz w:val="21"/>
          <w:szCs w:val="21"/>
        </w:rPr>
        <w:t>（三）2025年度经营计划</w:t>
      </w:r>
    </w:p>
    <w:p w:rsidR="00A2119D" w:rsidRPr="000A1D01" w:rsidRDefault="00A2119D" w:rsidP="00CB5CA2">
      <w:pPr>
        <w:pStyle w:val="a3"/>
        <w:spacing w:before="0" w:beforeAutospacing="0" w:after="0" w:afterAutospacing="0" w:line="360" w:lineRule="auto"/>
        <w:ind w:firstLine="562"/>
        <w:jc w:val="both"/>
        <w:divId w:val="577177246"/>
        <w:rPr>
          <w:sz w:val="21"/>
          <w:szCs w:val="21"/>
        </w:rPr>
      </w:pPr>
      <w:r w:rsidRPr="000A1D01">
        <w:rPr>
          <w:rFonts w:hint="eastAsia"/>
          <w:sz w:val="21"/>
          <w:szCs w:val="21"/>
        </w:rPr>
        <w:t>2025年是国家“十四五”收</w:t>
      </w:r>
      <w:r w:rsidR="00860FBB">
        <w:rPr>
          <w:rFonts w:hint="eastAsia"/>
          <w:sz w:val="21"/>
          <w:szCs w:val="21"/>
        </w:rPr>
        <w:t>官</w:t>
      </w:r>
      <w:r w:rsidRPr="000A1D01">
        <w:rPr>
          <w:rFonts w:hint="eastAsia"/>
          <w:sz w:val="21"/>
          <w:szCs w:val="21"/>
        </w:rPr>
        <w:t>之年，对公司而言也是困难与机遇并存的关键年。公司将坚定深耕军工产业，一方面以现有两大业务板块为核心，狠抓市场拓展、以技术创新、降本增效，促进经营内生增长；另一方面利用上市公司平台优势，把握机遇，整合资源，积极通过外延并购拓展公司规模及产品矩阵；同时加大宣传与推广力度，提升公司在行业中的影响力及社会知名度，增强品牌竞争力，力争使公司整体实力跃上一个新台阶。为此，将重点开展如下工作：</w:t>
      </w:r>
    </w:p>
    <w:p w:rsidR="00A2119D" w:rsidRPr="000A1D01" w:rsidRDefault="00A2119D" w:rsidP="00CB5CA2">
      <w:pPr>
        <w:pStyle w:val="a3"/>
        <w:spacing w:before="0" w:beforeAutospacing="0" w:after="0" w:afterAutospacing="0" w:line="360" w:lineRule="auto"/>
        <w:ind w:firstLine="562"/>
        <w:jc w:val="both"/>
        <w:divId w:val="577177246"/>
        <w:rPr>
          <w:rFonts w:cs="Calibri"/>
          <w:sz w:val="21"/>
          <w:szCs w:val="21"/>
        </w:rPr>
      </w:pPr>
      <w:r w:rsidRPr="000A1D01">
        <w:rPr>
          <w:rStyle w:val="a4"/>
          <w:rFonts w:cs="Calibri" w:hint="eastAsia"/>
          <w:sz w:val="21"/>
          <w:szCs w:val="21"/>
        </w:rPr>
        <w:t>1、升华电源——</w:t>
      </w:r>
      <w:r w:rsidR="00195967" w:rsidRPr="000A1D01">
        <w:rPr>
          <w:rStyle w:val="a4"/>
          <w:rFonts w:cs="Calibri" w:hint="eastAsia"/>
          <w:sz w:val="21"/>
          <w:szCs w:val="21"/>
        </w:rPr>
        <w:t>挖掘资源效能、强化内部管理</w:t>
      </w:r>
    </w:p>
    <w:p w:rsidR="00A2119D" w:rsidRPr="000A1D01" w:rsidRDefault="00195967" w:rsidP="00CB5CA2">
      <w:pPr>
        <w:pStyle w:val="a3"/>
        <w:spacing w:before="0" w:beforeAutospacing="0" w:after="0" w:afterAutospacing="0" w:line="360" w:lineRule="auto"/>
        <w:ind w:firstLine="560"/>
        <w:jc w:val="both"/>
        <w:divId w:val="577177246"/>
        <w:rPr>
          <w:rFonts w:cs="Calibri"/>
          <w:sz w:val="21"/>
          <w:szCs w:val="21"/>
        </w:rPr>
      </w:pPr>
      <w:r w:rsidRPr="000A1D01">
        <w:rPr>
          <w:rFonts w:cs="Calibri" w:hint="eastAsia"/>
          <w:sz w:val="21"/>
          <w:szCs w:val="21"/>
        </w:rPr>
        <w:t>继续加大市场拓展力度，充分发挥现有各类资源的作用，拓展新客户和产品线；</w:t>
      </w:r>
      <w:r w:rsidR="00A2119D" w:rsidRPr="000A1D01">
        <w:rPr>
          <w:rFonts w:cs="Calibri" w:hint="eastAsia"/>
          <w:sz w:val="21"/>
          <w:szCs w:val="21"/>
        </w:rPr>
        <w:t>进一步提升研发团队的能力及水平，降低研发成本，提升研发效率；优化生产管理，提升产品的质量和及时交付率；优化供应链管理，加快存货周转，提升企业运营效率；通过强化各项内部管理措施，降低营销及管理费用</w:t>
      </w:r>
      <w:r w:rsidRPr="000A1D01">
        <w:rPr>
          <w:rFonts w:cs="Calibri" w:hint="eastAsia"/>
          <w:sz w:val="21"/>
          <w:szCs w:val="21"/>
        </w:rPr>
        <w:t>，</w:t>
      </w:r>
      <w:r w:rsidR="00A2119D" w:rsidRPr="000A1D01">
        <w:rPr>
          <w:rFonts w:cs="Calibri" w:hint="eastAsia"/>
          <w:sz w:val="21"/>
          <w:szCs w:val="21"/>
        </w:rPr>
        <w:t xml:space="preserve">努力提升营业收入和经营效益。 </w:t>
      </w:r>
    </w:p>
    <w:p w:rsidR="00A2119D" w:rsidRPr="000A1D01" w:rsidRDefault="00A2119D" w:rsidP="00CB5CA2">
      <w:pPr>
        <w:pStyle w:val="a3"/>
        <w:spacing w:before="0" w:beforeAutospacing="0" w:after="0" w:afterAutospacing="0" w:line="360" w:lineRule="auto"/>
        <w:ind w:firstLine="562"/>
        <w:jc w:val="both"/>
        <w:divId w:val="577177246"/>
        <w:rPr>
          <w:rFonts w:cs="Calibri"/>
          <w:sz w:val="21"/>
          <w:szCs w:val="21"/>
        </w:rPr>
      </w:pPr>
      <w:r w:rsidRPr="000A1D01">
        <w:rPr>
          <w:rStyle w:val="a4"/>
          <w:rFonts w:cs="Calibri" w:hint="eastAsia"/>
          <w:sz w:val="21"/>
          <w:szCs w:val="21"/>
        </w:rPr>
        <w:t>2、沈阳含能——提高生产能力、增添发展后劲</w:t>
      </w:r>
    </w:p>
    <w:p w:rsidR="00A2119D" w:rsidRPr="000A1D01" w:rsidRDefault="00A2119D" w:rsidP="00CB5CA2">
      <w:pPr>
        <w:pStyle w:val="a3"/>
        <w:spacing w:before="0" w:beforeAutospacing="0" w:after="0" w:afterAutospacing="0" w:line="360" w:lineRule="auto"/>
        <w:ind w:firstLine="560"/>
        <w:jc w:val="both"/>
        <w:divId w:val="577177246"/>
        <w:rPr>
          <w:rFonts w:cs="Calibri"/>
          <w:sz w:val="21"/>
          <w:szCs w:val="21"/>
        </w:rPr>
      </w:pPr>
      <w:r w:rsidRPr="000A1D01">
        <w:rPr>
          <w:rFonts w:cs="Calibri" w:hint="eastAsia"/>
          <w:sz w:val="21"/>
          <w:szCs w:val="21"/>
        </w:rPr>
        <w:t>优化生产场地和生产设备的配置，提升产品生产能力；加强主要原材料的价格跟踪及研究，</w:t>
      </w:r>
      <w:r w:rsidR="00D12C1E" w:rsidRPr="000A1D01">
        <w:rPr>
          <w:rFonts w:cs="Calibri" w:hint="eastAsia"/>
          <w:sz w:val="21"/>
          <w:szCs w:val="21"/>
        </w:rPr>
        <w:t>努力</w:t>
      </w:r>
      <w:r w:rsidRPr="000A1D01">
        <w:rPr>
          <w:rFonts w:cs="Calibri" w:hint="eastAsia"/>
          <w:sz w:val="21"/>
          <w:szCs w:val="21"/>
        </w:rPr>
        <w:t>化解原料价格上涨对产品成本的不利影响；实施精细化生产管理，降低生产成本，提升产品质量。在巩固原有业务的基础上，持续跟踪军品科研项目，积极推动重点科研项目落地。</w:t>
      </w:r>
    </w:p>
    <w:p w:rsidR="00A2119D" w:rsidRPr="000A1D01" w:rsidRDefault="00A2119D" w:rsidP="00CB5CA2">
      <w:pPr>
        <w:pStyle w:val="a3"/>
        <w:spacing w:before="0" w:beforeAutospacing="0" w:after="0" w:afterAutospacing="0" w:line="360" w:lineRule="auto"/>
        <w:ind w:firstLine="562"/>
        <w:jc w:val="both"/>
        <w:divId w:val="577177246"/>
        <w:rPr>
          <w:rFonts w:cs="Calibri"/>
          <w:sz w:val="21"/>
          <w:szCs w:val="21"/>
        </w:rPr>
      </w:pPr>
      <w:r w:rsidRPr="000A1D01">
        <w:rPr>
          <w:rStyle w:val="a4"/>
          <w:rFonts w:cs="Calibri" w:hint="eastAsia"/>
          <w:sz w:val="21"/>
          <w:szCs w:val="21"/>
        </w:rPr>
        <w:t>3、沈阳非晶——</w:t>
      </w:r>
      <w:r w:rsidR="002A1D25" w:rsidRPr="000A1D01">
        <w:rPr>
          <w:rStyle w:val="a4"/>
          <w:rFonts w:cs="Calibri" w:hint="eastAsia"/>
          <w:sz w:val="21"/>
          <w:szCs w:val="21"/>
        </w:rPr>
        <w:t>优化产品工艺、</w:t>
      </w:r>
      <w:r w:rsidRPr="000A1D01">
        <w:rPr>
          <w:rStyle w:val="a4"/>
          <w:rFonts w:cs="Calibri" w:hint="eastAsia"/>
          <w:sz w:val="21"/>
          <w:szCs w:val="21"/>
        </w:rPr>
        <w:t>降本提质增效</w:t>
      </w:r>
    </w:p>
    <w:p w:rsidR="00A2119D" w:rsidRPr="000A1D01" w:rsidRDefault="002A1D25" w:rsidP="00CB5CA2">
      <w:pPr>
        <w:pStyle w:val="a3"/>
        <w:spacing w:before="0" w:beforeAutospacing="0" w:after="0" w:afterAutospacing="0" w:line="360" w:lineRule="auto"/>
        <w:ind w:firstLine="560"/>
        <w:jc w:val="both"/>
        <w:divId w:val="577177246"/>
        <w:rPr>
          <w:rFonts w:cs="Calibri"/>
          <w:sz w:val="21"/>
          <w:szCs w:val="21"/>
        </w:rPr>
      </w:pPr>
      <w:r w:rsidRPr="000A1D01">
        <w:rPr>
          <w:rFonts w:cs="Calibri" w:hint="eastAsia"/>
          <w:sz w:val="21"/>
          <w:szCs w:val="21"/>
        </w:rPr>
        <w:lastRenderedPageBreak/>
        <w:t>继续优化产品设计方案和生产工艺，降低产品成本</w:t>
      </w:r>
      <w:r w:rsidR="00A2119D" w:rsidRPr="000A1D01">
        <w:rPr>
          <w:rFonts w:cs="Calibri" w:hint="eastAsia"/>
          <w:sz w:val="21"/>
          <w:szCs w:val="21"/>
        </w:rPr>
        <w:t>；并积极配合总体厂家推动新项目的研制定型；通过多</w:t>
      </w:r>
      <w:proofErr w:type="gramStart"/>
      <w:r w:rsidR="00A2119D" w:rsidRPr="000A1D01">
        <w:rPr>
          <w:rFonts w:cs="Calibri" w:hint="eastAsia"/>
          <w:sz w:val="21"/>
          <w:szCs w:val="21"/>
        </w:rPr>
        <w:t>措</w:t>
      </w:r>
      <w:proofErr w:type="gramEnd"/>
      <w:r w:rsidR="00A2119D" w:rsidRPr="000A1D01">
        <w:rPr>
          <w:rFonts w:cs="Calibri" w:hint="eastAsia"/>
          <w:sz w:val="21"/>
          <w:szCs w:val="21"/>
        </w:rPr>
        <w:t>并举，</w:t>
      </w:r>
      <w:r w:rsidR="008C0FEA" w:rsidRPr="000A1D01">
        <w:rPr>
          <w:rFonts w:cs="Calibri" w:hint="eastAsia"/>
          <w:sz w:val="21"/>
          <w:szCs w:val="21"/>
        </w:rPr>
        <w:t>进一步提升经营效益</w:t>
      </w:r>
      <w:r w:rsidR="00A2119D" w:rsidRPr="000A1D01">
        <w:rPr>
          <w:rFonts w:cs="Calibri" w:hint="eastAsia"/>
          <w:sz w:val="21"/>
          <w:szCs w:val="21"/>
        </w:rPr>
        <w:t>。</w:t>
      </w:r>
    </w:p>
    <w:p w:rsidR="00A2119D" w:rsidRPr="000A1D01" w:rsidRDefault="00A2119D" w:rsidP="00CB5CA2">
      <w:pPr>
        <w:pStyle w:val="a3"/>
        <w:spacing w:before="0" w:beforeAutospacing="0" w:after="0" w:afterAutospacing="0" w:line="360" w:lineRule="auto"/>
        <w:ind w:firstLine="562"/>
        <w:jc w:val="both"/>
        <w:divId w:val="577177246"/>
        <w:rPr>
          <w:rFonts w:cs="Calibri"/>
          <w:sz w:val="21"/>
          <w:szCs w:val="21"/>
        </w:rPr>
      </w:pPr>
      <w:r w:rsidRPr="000A1D01">
        <w:rPr>
          <w:rStyle w:val="a4"/>
          <w:rFonts w:cs="Calibri" w:hint="eastAsia"/>
          <w:sz w:val="21"/>
          <w:szCs w:val="21"/>
        </w:rPr>
        <w:t>4、公司本部——强化服务意识，推进外延并购</w:t>
      </w:r>
    </w:p>
    <w:p w:rsidR="00A2119D" w:rsidRPr="000A1D01" w:rsidRDefault="00A2119D" w:rsidP="00CB5CA2">
      <w:pPr>
        <w:pStyle w:val="a3"/>
        <w:spacing w:before="0" w:beforeAutospacing="0" w:after="0" w:afterAutospacing="0" w:line="360" w:lineRule="auto"/>
        <w:ind w:firstLine="560"/>
        <w:jc w:val="both"/>
        <w:divId w:val="577177246"/>
        <w:rPr>
          <w:rFonts w:cs="Calibri"/>
          <w:sz w:val="21"/>
          <w:szCs w:val="21"/>
        </w:rPr>
      </w:pPr>
      <w:r w:rsidRPr="000A1D01">
        <w:rPr>
          <w:rFonts w:cs="Calibri" w:hint="eastAsia"/>
          <w:sz w:val="21"/>
          <w:szCs w:val="21"/>
        </w:rPr>
        <w:t>各部门</w:t>
      </w:r>
      <w:r w:rsidR="00D12C1E" w:rsidRPr="000A1D01">
        <w:rPr>
          <w:rFonts w:cs="Calibri" w:hint="eastAsia"/>
          <w:sz w:val="21"/>
          <w:szCs w:val="21"/>
        </w:rPr>
        <w:t>将</w:t>
      </w:r>
      <w:r w:rsidRPr="000A1D01">
        <w:rPr>
          <w:rFonts w:cs="Calibri" w:hint="eastAsia"/>
          <w:sz w:val="21"/>
          <w:szCs w:val="21"/>
        </w:rPr>
        <w:t>进一步提升管理水平，在做好规范管理的基础上，强化服务意识，全方位赋能子公司，协助各业务单元开展相关工作；同时聚焦战略定位，努力通过外延并购来丰富业务矩阵，壮大公司实力。</w:t>
      </w:r>
    </w:p>
    <w:p w:rsidR="00A2119D" w:rsidRPr="00446C77" w:rsidRDefault="00A2119D" w:rsidP="00CB5CA2">
      <w:pPr>
        <w:pStyle w:val="a3"/>
        <w:spacing w:before="0" w:beforeAutospacing="0" w:after="0" w:afterAutospacing="0" w:line="360" w:lineRule="auto"/>
        <w:ind w:firstLine="600"/>
        <w:jc w:val="both"/>
        <w:divId w:val="577177246"/>
        <w:rPr>
          <w:rStyle w:val="a4"/>
        </w:rPr>
      </w:pPr>
      <w:r w:rsidRPr="00446C77">
        <w:rPr>
          <w:rStyle w:val="a4"/>
          <w:rFonts w:hint="eastAsia"/>
        </w:rPr>
        <w:t>（四）</w:t>
      </w:r>
      <w:r w:rsidRPr="00446C77">
        <w:rPr>
          <w:rStyle w:val="a4"/>
          <w:rFonts w:cs="Calibri" w:hint="eastAsia"/>
          <w:sz w:val="21"/>
          <w:szCs w:val="21"/>
        </w:rPr>
        <w:t>可能面对的风险及应对措施</w:t>
      </w:r>
    </w:p>
    <w:p w:rsidR="00BD5676" w:rsidRPr="000A1D01" w:rsidRDefault="00BD5676" w:rsidP="00BD5676">
      <w:pPr>
        <w:pStyle w:val="a3"/>
        <w:spacing w:before="0" w:beforeAutospacing="0" w:after="0" w:afterAutospacing="0" w:line="360" w:lineRule="auto"/>
        <w:ind w:firstLine="562"/>
        <w:jc w:val="both"/>
        <w:rPr>
          <w:rFonts w:cs="Calibri"/>
          <w:sz w:val="21"/>
          <w:szCs w:val="21"/>
        </w:rPr>
      </w:pPr>
      <w:bookmarkStart w:id="53" w:name="_Toc988939"/>
      <w:r w:rsidRPr="000A1D01">
        <w:rPr>
          <w:rStyle w:val="a4"/>
          <w:rFonts w:cs="Calibri" w:hint="eastAsia"/>
          <w:sz w:val="21"/>
          <w:szCs w:val="21"/>
        </w:rPr>
        <w:t>（1）军品业务市场风险</w:t>
      </w:r>
    </w:p>
    <w:p w:rsidR="00BD5676" w:rsidRPr="000A1D01" w:rsidRDefault="00BD5676" w:rsidP="00BD5676">
      <w:pPr>
        <w:pStyle w:val="a3"/>
        <w:spacing w:before="0" w:beforeAutospacing="0" w:after="0" w:afterAutospacing="0" w:line="360" w:lineRule="auto"/>
        <w:ind w:firstLine="560"/>
        <w:jc w:val="both"/>
        <w:rPr>
          <w:rFonts w:cs="Calibri"/>
          <w:sz w:val="21"/>
          <w:szCs w:val="21"/>
        </w:rPr>
      </w:pPr>
      <w:r w:rsidRPr="000A1D01">
        <w:rPr>
          <w:rFonts w:cs="Calibri" w:hint="eastAsia"/>
          <w:sz w:val="21"/>
          <w:szCs w:val="21"/>
        </w:rPr>
        <w:t>面临的风险：公司子公司升华电源、沈阳含能及沈阳非晶的产品应用于通信、航空、航天、武器装备等领域，且其产品下游客户的最终用户主要为军方，军方</w:t>
      </w:r>
      <w:proofErr w:type="gramStart"/>
      <w:r w:rsidRPr="000A1D01">
        <w:rPr>
          <w:rFonts w:cs="Calibri" w:hint="eastAsia"/>
          <w:sz w:val="21"/>
          <w:szCs w:val="21"/>
        </w:rPr>
        <w:t>采购受</w:t>
      </w:r>
      <w:proofErr w:type="gramEnd"/>
      <w:r w:rsidRPr="000A1D01">
        <w:rPr>
          <w:rFonts w:cs="Calibri" w:hint="eastAsia"/>
          <w:sz w:val="21"/>
          <w:szCs w:val="21"/>
        </w:rPr>
        <w:t>国防支出预算、国际国内环境、军方政策影响较大，具有一定的不确定性；同时用户对产品有着严格的试验、检验要求，单个订单的执行周期可能较长，也可能存在突发订单增加、订单延迟甚至订单取消的情况，从而使子公司出现业绩同比大幅波动的风险。</w:t>
      </w:r>
    </w:p>
    <w:p w:rsidR="00BD5676" w:rsidRPr="000A1D01" w:rsidRDefault="00BD5676" w:rsidP="00BD5676">
      <w:pPr>
        <w:pStyle w:val="a3"/>
        <w:spacing w:before="0" w:beforeAutospacing="0" w:after="0" w:afterAutospacing="0" w:line="360" w:lineRule="auto"/>
        <w:ind w:firstLine="560"/>
        <w:jc w:val="both"/>
        <w:rPr>
          <w:rFonts w:cs="Calibri"/>
          <w:sz w:val="21"/>
          <w:szCs w:val="21"/>
        </w:rPr>
      </w:pPr>
      <w:r w:rsidRPr="000A1D01">
        <w:rPr>
          <w:rFonts w:cs="Calibri" w:hint="eastAsia"/>
          <w:sz w:val="21"/>
          <w:szCs w:val="21"/>
        </w:rPr>
        <w:t>应对措施：紧跟军委装备发展的政策变化及部署，紧随部队装备的更新换代和产品升级，继续稳定与主要客户的</w:t>
      </w:r>
      <w:proofErr w:type="gramStart"/>
      <w:r w:rsidRPr="000A1D01">
        <w:rPr>
          <w:rFonts w:cs="Calibri" w:hint="eastAsia"/>
          <w:sz w:val="21"/>
          <w:szCs w:val="21"/>
        </w:rPr>
        <w:t>良好业务</w:t>
      </w:r>
      <w:proofErr w:type="gramEnd"/>
      <w:r w:rsidRPr="000A1D01">
        <w:rPr>
          <w:rFonts w:cs="Calibri" w:hint="eastAsia"/>
          <w:sz w:val="21"/>
          <w:szCs w:val="21"/>
        </w:rPr>
        <w:t>关系，依靠产品竞争优势，切入重要武器</w:t>
      </w:r>
      <w:r w:rsidR="00860FBB">
        <w:rPr>
          <w:rFonts w:cs="Calibri" w:hint="eastAsia"/>
          <w:sz w:val="21"/>
          <w:szCs w:val="21"/>
        </w:rPr>
        <w:t>装备</w:t>
      </w:r>
      <w:r w:rsidRPr="000A1D01">
        <w:rPr>
          <w:rFonts w:cs="Calibri" w:hint="eastAsia"/>
          <w:sz w:val="21"/>
          <w:szCs w:val="21"/>
        </w:rPr>
        <w:t>平台及重点型号产品；持续加大研发投入，不断开展降本增效工作，保持技术领先及成本领先，提升产品市场竞争力，通过优质产品及服务，提高客户满意度，提升客户粘性；同时不断加强客户积累，积极研发新产品、拓展新的客户，减少客户集中度高的潜在不利影响；并加大力度拓展相应民品市场，满足不同客户的不同需求，提高市场覆盖面，提升整体抗风险能力。</w:t>
      </w:r>
    </w:p>
    <w:p w:rsidR="00BD5676" w:rsidRPr="000A1D01" w:rsidRDefault="00BD5676" w:rsidP="00BD5676">
      <w:pPr>
        <w:pStyle w:val="a3"/>
        <w:spacing w:before="0" w:beforeAutospacing="0" w:after="0" w:afterAutospacing="0" w:line="360" w:lineRule="auto"/>
        <w:ind w:firstLine="562"/>
        <w:jc w:val="both"/>
        <w:rPr>
          <w:rFonts w:cs="Calibri"/>
          <w:sz w:val="21"/>
          <w:szCs w:val="21"/>
        </w:rPr>
      </w:pPr>
      <w:r w:rsidRPr="000A1D01">
        <w:rPr>
          <w:rStyle w:val="a4"/>
          <w:rFonts w:cs="Calibri" w:hint="eastAsia"/>
          <w:sz w:val="21"/>
          <w:szCs w:val="21"/>
        </w:rPr>
        <w:t>（</w:t>
      </w:r>
      <w:r>
        <w:rPr>
          <w:rStyle w:val="a4"/>
          <w:rFonts w:cs="Calibri"/>
          <w:sz w:val="21"/>
          <w:szCs w:val="21"/>
        </w:rPr>
        <w:t>2</w:t>
      </w:r>
      <w:r w:rsidRPr="000A1D01">
        <w:rPr>
          <w:rStyle w:val="a4"/>
          <w:rFonts w:cs="Calibri" w:hint="eastAsia"/>
          <w:sz w:val="21"/>
          <w:szCs w:val="21"/>
        </w:rPr>
        <w:t>）商誉减值的风险</w:t>
      </w:r>
    </w:p>
    <w:p w:rsidR="00BD5676" w:rsidRPr="000A1D01" w:rsidRDefault="00BD5676" w:rsidP="00BD5676">
      <w:pPr>
        <w:pStyle w:val="a3"/>
        <w:spacing w:before="0" w:beforeAutospacing="0" w:after="0" w:afterAutospacing="0" w:line="360" w:lineRule="auto"/>
        <w:ind w:firstLine="560"/>
        <w:jc w:val="both"/>
        <w:rPr>
          <w:rFonts w:cs="Calibri"/>
          <w:sz w:val="21"/>
          <w:szCs w:val="21"/>
        </w:rPr>
      </w:pPr>
      <w:r w:rsidRPr="000A1D01">
        <w:rPr>
          <w:rFonts w:cs="Calibri" w:hint="eastAsia"/>
          <w:sz w:val="21"/>
          <w:szCs w:val="21"/>
        </w:rPr>
        <w:t>面临的风险：公司在收购升华电源及沈阳非晶的股权进行估值时，对收购对象未来业绩的持续增长作了预测，但由于经济规律的影响，同时若遇宏观经济波动、不可抗力、市场竞争形势变化、行业增速下降等冲击因素，存在经营业绩无法持续增长，从而带来商誉减值的风险。虽然公司在2023年度对公司含商誉的资产组计提了部分减值准备，不排除未来商誉有持续减值的可能性。</w:t>
      </w:r>
    </w:p>
    <w:p w:rsidR="00BD5676" w:rsidRDefault="00BD5676" w:rsidP="00BD5676">
      <w:pPr>
        <w:pStyle w:val="a3"/>
        <w:spacing w:before="0" w:beforeAutospacing="0" w:after="0" w:afterAutospacing="0" w:line="360" w:lineRule="auto"/>
        <w:ind w:firstLine="560"/>
        <w:jc w:val="both"/>
        <w:rPr>
          <w:rFonts w:cs="Calibri"/>
          <w:sz w:val="21"/>
          <w:szCs w:val="21"/>
        </w:rPr>
      </w:pPr>
      <w:r w:rsidRPr="000A1D01">
        <w:rPr>
          <w:rFonts w:cs="Calibri" w:hint="eastAsia"/>
          <w:sz w:val="21"/>
          <w:szCs w:val="21"/>
        </w:rPr>
        <w:t>应对措施：公司将一方面要求子公司加强与高校、科研院所的交流与合作，不断完善技术研发体系，增强自主创新能力，紧跟市场技术趋势，及时掌握客户需求，通过高技术含量的优质产品及服务，来保持经营效益的稳定增长；另一方面将充分发挥上市公司的资本平台优势，积极提供赋能作用，协助子公司做好市场及业务的拓展。</w:t>
      </w:r>
    </w:p>
    <w:p w:rsidR="005117FD" w:rsidRDefault="00BD5676" w:rsidP="005117FD">
      <w:pPr>
        <w:pStyle w:val="a3"/>
        <w:widowControl w:val="0"/>
        <w:spacing w:before="0" w:beforeAutospacing="0" w:after="0" w:afterAutospacing="0" w:line="360" w:lineRule="auto"/>
        <w:ind w:firstLine="561"/>
        <w:rPr>
          <w:rStyle w:val="a4"/>
          <w:rFonts w:cs="Calibri"/>
          <w:sz w:val="21"/>
          <w:szCs w:val="21"/>
        </w:rPr>
      </w:pPr>
      <w:r w:rsidRPr="008F51D0">
        <w:rPr>
          <w:rStyle w:val="a4"/>
          <w:rFonts w:cs="Calibri"/>
          <w:sz w:val="21"/>
          <w:szCs w:val="21"/>
        </w:rPr>
        <w:t>（</w:t>
      </w:r>
      <w:r>
        <w:rPr>
          <w:rStyle w:val="a4"/>
          <w:rFonts w:cs="Calibri"/>
          <w:sz w:val="21"/>
          <w:szCs w:val="21"/>
        </w:rPr>
        <w:t>3</w:t>
      </w:r>
      <w:r w:rsidRPr="008F51D0">
        <w:rPr>
          <w:rStyle w:val="a4"/>
          <w:rFonts w:cs="Calibri"/>
          <w:sz w:val="21"/>
          <w:szCs w:val="21"/>
        </w:rPr>
        <w:t>）</w:t>
      </w:r>
      <w:r w:rsidRPr="008F51D0">
        <w:rPr>
          <w:rStyle w:val="a4"/>
          <w:rFonts w:cs="Calibri" w:hint="eastAsia"/>
          <w:sz w:val="21"/>
          <w:szCs w:val="21"/>
        </w:rPr>
        <w:t>原材料价格上涨的风险</w:t>
      </w:r>
      <w:bookmarkStart w:id="54" w:name="_Hlk195041049"/>
    </w:p>
    <w:p w:rsidR="00BD5676" w:rsidRPr="008F51D0" w:rsidRDefault="00BD5676" w:rsidP="005117FD">
      <w:pPr>
        <w:pStyle w:val="a3"/>
        <w:widowControl w:val="0"/>
        <w:spacing w:before="0" w:beforeAutospacing="0" w:after="0" w:afterAutospacing="0" w:line="360" w:lineRule="auto"/>
        <w:ind w:firstLine="561"/>
        <w:rPr>
          <w:rFonts w:cs="Calibri"/>
          <w:sz w:val="21"/>
          <w:szCs w:val="21"/>
        </w:rPr>
      </w:pPr>
      <w:r w:rsidRPr="008F51D0">
        <w:rPr>
          <w:rFonts w:cs="Calibri" w:hint="eastAsia"/>
          <w:sz w:val="21"/>
          <w:szCs w:val="21"/>
        </w:rPr>
        <w:t>面临的风险：</w:t>
      </w:r>
      <w:bookmarkEnd w:id="54"/>
      <w:r w:rsidRPr="008F51D0">
        <w:rPr>
          <w:rFonts w:cs="Calibri" w:hint="eastAsia"/>
          <w:sz w:val="21"/>
          <w:szCs w:val="21"/>
        </w:rPr>
        <w:t>公司子公司生产所需的原材料价格存在较大波动，同时按照国家政策导向及行业发展</w:t>
      </w:r>
      <w:r w:rsidRPr="008F51D0">
        <w:rPr>
          <w:rFonts w:cs="Calibri" w:hint="eastAsia"/>
          <w:sz w:val="21"/>
          <w:szCs w:val="21"/>
        </w:rPr>
        <w:lastRenderedPageBreak/>
        <w:t>趋势，原材料将逐步国产化，由于短期内合格供应</w:t>
      </w:r>
      <w:proofErr w:type="gramStart"/>
      <w:r w:rsidRPr="008F51D0">
        <w:rPr>
          <w:rFonts w:cs="Calibri" w:hint="eastAsia"/>
          <w:sz w:val="21"/>
          <w:szCs w:val="21"/>
        </w:rPr>
        <w:t>商相对</w:t>
      </w:r>
      <w:proofErr w:type="gramEnd"/>
      <w:r w:rsidRPr="008F51D0">
        <w:rPr>
          <w:rFonts w:cs="Calibri" w:hint="eastAsia"/>
          <w:sz w:val="21"/>
          <w:szCs w:val="21"/>
        </w:rPr>
        <w:t>较少，价格偏高，成本控制难度加大，进而可能影响公司总体经营效益。</w:t>
      </w:r>
    </w:p>
    <w:p w:rsidR="00BD5676" w:rsidRPr="008F51D0" w:rsidRDefault="00BD5676" w:rsidP="00BD5676">
      <w:pPr>
        <w:pStyle w:val="a3"/>
        <w:spacing w:before="0" w:beforeAutospacing="0" w:after="0" w:afterAutospacing="0" w:line="360" w:lineRule="auto"/>
        <w:ind w:firstLine="560"/>
        <w:rPr>
          <w:rFonts w:cs="Calibri"/>
          <w:sz w:val="21"/>
          <w:szCs w:val="21"/>
        </w:rPr>
      </w:pPr>
      <w:r w:rsidRPr="008F51D0">
        <w:rPr>
          <w:rFonts w:cs="Calibri" w:hint="eastAsia"/>
          <w:sz w:val="21"/>
          <w:szCs w:val="21"/>
        </w:rPr>
        <w:t>应对措施：一方面加强对原材料价格波动规律的分析，优化采购节奏，力争在原材料价格较低时采购；另一方面丰富原材料采购来源，构建长期稳定的供应渠道，提升采购议价能力；同时加大技改革新力度，不断探索部分原材料的自产替代及工艺改良，努力控制原材料价格上涨的风险。</w:t>
      </w:r>
    </w:p>
    <w:p w:rsidR="00BD5676" w:rsidRPr="008F51D0" w:rsidRDefault="00BD5676" w:rsidP="00BD5676">
      <w:pPr>
        <w:pStyle w:val="a3"/>
        <w:spacing w:before="0" w:beforeAutospacing="0" w:after="0" w:afterAutospacing="0" w:line="360" w:lineRule="auto"/>
        <w:ind w:firstLine="561"/>
        <w:rPr>
          <w:rStyle w:val="a4"/>
          <w:rFonts w:cs="Calibri"/>
          <w:sz w:val="21"/>
          <w:szCs w:val="21"/>
        </w:rPr>
      </w:pPr>
      <w:r w:rsidRPr="008F51D0">
        <w:rPr>
          <w:rStyle w:val="a4"/>
          <w:rFonts w:cs="Calibri"/>
          <w:sz w:val="21"/>
          <w:szCs w:val="21"/>
        </w:rPr>
        <w:t>（</w:t>
      </w:r>
      <w:r>
        <w:rPr>
          <w:rStyle w:val="a4"/>
          <w:rFonts w:cs="Calibri"/>
          <w:sz w:val="21"/>
          <w:szCs w:val="21"/>
        </w:rPr>
        <w:t>4</w:t>
      </w:r>
      <w:r w:rsidRPr="008F51D0">
        <w:rPr>
          <w:rStyle w:val="a4"/>
          <w:rFonts w:cs="Calibri"/>
          <w:sz w:val="21"/>
          <w:szCs w:val="21"/>
        </w:rPr>
        <w:t>）应收账款增加的风险</w:t>
      </w:r>
    </w:p>
    <w:p w:rsidR="00BD5676" w:rsidRPr="008F51D0" w:rsidRDefault="00BD5676" w:rsidP="00BD5676">
      <w:pPr>
        <w:pStyle w:val="a3"/>
        <w:spacing w:before="0" w:beforeAutospacing="0" w:after="0" w:afterAutospacing="0" w:line="360" w:lineRule="auto"/>
        <w:ind w:firstLine="560"/>
        <w:rPr>
          <w:rFonts w:cs="Calibri"/>
          <w:sz w:val="21"/>
          <w:szCs w:val="21"/>
        </w:rPr>
      </w:pPr>
      <w:r w:rsidRPr="008F51D0">
        <w:rPr>
          <w:rFonts w:cs="Calibri" w:hint="eastAsia"/>
          <w:sz w:val="21"/>
          <w:szCs w:val="21"/>
        </w:rPr>
        <w:t>面临的风险：</w:t>
      </w:r>
      <w:r w:rsidRPr="008F51D0">
        <w:rPr>
          <w:rFonts w:cs="Calibri"/>
          <w:sz w:val="21"/>
          <w:szCs w:val="21"/>
        </w:rPr>
        <w:t>公司主要客户因政策调控、行业</w:t>
      </w:r>
      <w:r w:rsidRPr="008F51D0">
        <w:rPr>
          <w:rFonts w:cs="Calibri" w:hint="eastAsia"/>
          <w:sz w:val="21"/>
          <w:szCs w:val="21"/>
        </w:rPr>
        <w:t>特性</w:t>
      </w:r>
      <w:r w:rsidRPr="008F51D0">
        <w:rPr>
          <w:rFonts w:cs="Calibri"/>
          <w:sz w:val="21"/>
          <w:szCs w:val="21"/>
        </w:rPr>
        <w:t>等因素</w:t>
      </w:r>
      <w:r w:rsidRPr="008F51D0">
        <w:rPr>
          <w:rFonts w:cs="Calibri" w:hint="eastAsia"/>
          <w:sz w:val="21"/>
          <w:szCs w:val="21"/>
        </w:rPr>
        <w:t>影响，导致货款支付周期延长，</w:t>
      </w:r>
      <w:r w:rsidRPr="008F51D0">
        <w:rPr>
          <w:rFonts w:cs="Calibri"/>
          <w:sz w:val="21"/>
          <w:szCs w:val="21"/>
        </w:rPr>
        <w:t>公司</w:t>
      </w:r>
      <w:r w:rsidRPr="008F51D0">
        <w:rPr>
          <w:rFonts w:cs="Calibri" w:hint="eastAsia"/>
          <w:sz w:val="21"/>
          <w:szCs w:val="21"/>
        </w:rPr>
        <w:t>可能出现</w:t>
      </w:r>
      <w:r w:rsidRPr="008F51D0">
        <w:rPr>
          <w:rFonts w:cs="Calibri"/>
          <w:sz w:val="21"/>
          <w:szCs w:val="21"/>
        </w:rPr>
        <w:t>难以如期收回应收账款</w:t>
      </w:r>
      <w:r w:rsidRPr="008F51D0">
        <w:rPr>
          <w:rFonts w:cs="Calibri" w:hint="eastAsia"/>
          <w:sz w:val="21"/>
          <w:szCs w:val="21"/>
        </w:rPr>
        <w:t>的风险，这将</w:t>
      </w:r>
      <w:r w:rsidRPr="008F51D0">
        <w:rPr>
          <w:rFonts w:cs="Calibri"/>
          <w:sz w:val="21"/>
          <w:szCs w:val="21"/>
        </w:rPr>
        <w:t>对公司的现金流、财务状况</w:t>
      </w:r>
      <w:r w:rsidRPr="008F51D0">
        <w:rPr>
          <w:rFonts w:cs="Calibri" w:hint="eastAsia"/>
          <w:sz w:val="21"/>
          <w:szCs w:val="21"/>
        </w:rPr>
        <w:t>经营运作带来</w:t>
      </w:r>
      <w:r w:rsidRPr="008F51D0">
        <w:rPr>
          <w:rFonts w:cs="Calibri"/>
          <w:sz w:val="21"/>
          <w:szCs w:val="21"/>
        </w:rPr>
        <w:t>不利影响。</w:t>
      </w:r>
    </w:p>
    <w:p w:rsidR="00BD5676" w:rsidRDefault="00BD5676" w:rsidP="00BD5676">
      <w:pPr>
        <w:pStyle w:val="a3"/>
        <w:spacing w:before="0" w:beforeAutospacing="0" w:after="0" w:afterAutospacing="0" w:line="360" w:lineRule="auto"/>
        <w:ind w:firstLine="560"/>
        <w:rPr>
          <w:rFonts w:cs="Calibri"/>
          <w:sz w:val="21"/>
          <w:szCs w:val="21"/>
        </w:rPr>
      </w:pPr>
      <w:r w:rsidRPr="008F51D0">
        <w:rPr>
          <w:rFonts w:cs="Calibri" w:hint="eastAsia"/>
          <w:sz w:val="21"/>
          <w:szCs w:val="21"/>
        </w:rPr>
        <w:t>应对措施：公司将继续积极拓展新的客户，降低对货款支付周期长客户的依存度；同时</w:t>
      </w:r>
      <w:r w:rsidRPr="008F51D0">
        <w:rPr>
          <w:rFonts w:cs="Calibri"/>
          <w:sz w:val="21"/>
          <w:szCs w:val="21"/>
        </w:rPr>
        <w:t>不断完善应收账款管理制度，进一步优化应收账款催收激励机制，充分调动员工催收积极性</w:t>
      </w:r>
      <w:r w:rsidRPr="008F51D0">
        <w:rPr>
          <w:rFonts w:cs="Calibri" w:hint="eastAsia"/>
          <w:sz w:val="21"/>
          <w:szCs w:val="21"/>
        </w:rPr>
        <w:t>，不断</w:t>
      </w:r>
      <w:r w:rsidRPr="008F51D0">
        <w:rPr>
          <w:rFonts w:cs="Calibri"/>
          <w:sz w:val="21"/>
          <w:szCs w:val="21"/>
        </w:rPr>
        <w:t>提高资金运转效率，</w:t>
      </w:r>
      <w:r w:rsidRPr="008F51D0">
        <w:rPr>
          <w:rFonts w:cs="Calibri" w:hint="eastAsia"/>
          <w:sz w:val="21"/>
          <w:szCs w:val="21"/>
        </w:rPr>
        <w:t>控制应收账款增加的风险。</w:t>
      </w:r>
    </w:p>
    <w:p w:rsidR="00BD5676" w:rsidRPr="00BD5676" w:rsidRDefault="00BD5676" w:rsidP="00BD5676">
      <w:pPr>
        <w:pStyle w:val="a3"/>
        <w:spacing w:before="0" w:beforeAutospacing="0" w:after="0" w:afterAutospacing="0" w:line="360" w:lineRule="auto"/>
        <w:ind w:firstLine="560"/>
        <w:jc w:val="both"/>
        <w:rPr>
          <w:rFonts w:cs="Calibri"/>
          <w:b/>
          <w:sz w:val="21"/>
          <w:szCs w:val="21"/>
        </w:rPr>
      </w:pPr>
      <w:r w:rsidRPr="00BD5676">
        <w:rPr>
          <w:rFonts w:cs="Calibri" w:hint="eastAsia"/>
          <w:b/>
          <w:sz w:val="21"/>
          <w:szCs w:val="21"/>
        </w:rPr>
        <w:t>（</w:t>
      </w:r>
      <w:r w:rsidRPr="00BD5676">
        <w:rPr>
          <w:rFonts w:cs="Calibri"/>
          <w:b/>
          <w:sz w:val="21"/>
          <w:szCs w:val="21"/>
        </w:rPr>
        <w:t>5</w:t>
      </w:r>
      <w:r w:rsidRPr="00BD5676">
        <w:rPr>
          <w:rFonts w:cs="Calibri" w:hint="eastAsia"/>
          <w:b/>
          <w:sz w:val="21"/>
          <w:szCs w:val="21"/>
        </w:rPr>
        <w:t>）业绩承诺无法完成的风险</w:t>
      </w:r>
    </w:p>
    <w:p w:rsidR="00BD5676" w:rsidRDefault="00BD5676" w:rsidP="00BD5676">
      <w:pPr>
        <w:pStyle w:val="a3"/>
        <w:spacing w:before="0" w:beforeAutospacing="0" w:after="0" w:afterAutospacing="0" w:line="360" w:lineRule="auto"/>
        <w:ind w:firstLine="560"/>
        <w:jc w:val="both"/>
        <w:rPr>
          <w:rFonts w:cs="Calibri"/>
          <w:sz w:val="21"/>
          <w:szCs w:val="21"/>
        </w:rPr>
      </w:pPr>
      <w:r>
        <w:rPr>
          <w:rFonts w:cs="Calibri" w:hint="eastAsia"/>
          <w:sz w:val="21"/>
          <w:szCs w:val="21"/>
        </w:rPr>
        <w:t>面临的风险：公司</w:t>
      </w:r>
      <w:r w:rsidRPr="00B43ED8">
        <w:rPr>
          <w:rFonts w:cs="Calibri"/>
          <w:sz w:val="21"/>
          <w:szCs w:val="21"/>
        </w:rPr>
        <w:t>与郝宏伟关于福建将乐卓越金属材料有限公司之股权转让协议中约定，沈阳非</w:t>
      </w:r>
      <w:proofErr w:type="gramStart"/>
      <w:r w:rsidRPr="00B43ED8">
        <w:rPr>
          <w:rFonts w:cs="Calibri"/>
          <w:sz w:val="21"/>
          <w:szCs w:val="21"/>
        </w:rPr>
        <w:t>晶前实际</w:t>
      </w:r>
      <w:proofErr w:type="gramEnd"/>
      <w:r w:rsidRPr="00B43ED8">
        <w:rPr>
          <w:rFonts w:cs="Calibri"/>
          <w:sz w:val="21"/>
          <w:szCs w:val="21"/>
        </w:rPr>
        <w:t>控制人郝宏伟承诺，2022年7月1日至2025年6月为利润保障期，在利润保障期内，沈阳</w:t>
      </w:r>
      <w:proofErr w:type="gramStart"/>
      <w:r w:rsidRPr="00B43ED8">
        <w:rPr>
          <w:rFonts w:cs="Calibri"/>
          <w:sz w:val="21"/>
          <w:szCs w:val="21"/>
        </w:rPr>
        <w:t>非晶经审定</w:t>
      </w:r>
      <w:proofErr w:type="gramEnd"/>
      <w:r w:rsidRPr="00B43ED8">
        <w:rPr>
          <w:rFonts w:cs="Calibri"/>
          <w:sz w:val="21"/>
          <w:szCs w:val="21"/>
        </w:rPr>
        <w:t>的三年合计</w:t>
      </w:r>
      <w:proofErr w:type="gramStart"/>
      <w:r w:rsidRPr="00B43ED8">
        <w:rPr>
          <w:rFonts w:cs="Calibri"/>
          <w:sz w:val="21"/>
          <w:szCs w:val="21"/>
        </w:rPr>
        <w:t>税后保障期调整净</w:t>
      </w:r>
      <w:proofErr w:type="gramEnd"/>
      <w:r w:rsidRPr="00B43ED8">
        <w:rPr>
          <w:rFonts w:cs="Calibri"/>
          <w:sz w:val="21"/>
          <w:szCs w:val="21"/>
        </w:rPr>
        <w:t>利润与研发费用之和不低于5,100万元。</w:t>
      </w:r>
      <w:r>
        <w:rPr>
          <w:rFonts w:cs="Calibri" w:hint="eastAsia"/>
          <w:sz w:val="21"/>
          <w:szCs w:val="21"/>
        </w:rPr>
        <w:t>截止2</w:t>
      </w:r>
      <w:r>
        <w:rPr>
          <w:rFonts w:cs="Calibri"/>
          <w:sz w:val="21"/>
          <w:szCs w:val="21"/>
        </w:rPr>
        <w:t>024</w:t>
      </w:r>
      <w:r>
        <w:rPr>
          <w:rFonts w:cs="Calibri" w:hint="eastAsia"/>
          <w:sz w:val="21"/>
          <w:szCs w:val="21"/>
        </w:rPr>
        <w:t>年1</w:t>
      </w:r>
      <w:r>
        <w:rPr>
          <w:rFonts w:cs="Calibri"/>
          <w:sz w:val="21"/>
          <w:szCs w:val="21"/>
        </w:rPr>
        <w:t>2</w:t>
      </w:r>
      <w:r>
        <w:rPr>
          <w:rFonts w:cs="Calibri" w:hint="eastAsia"/>
          <w:sz w:val="21"/>
          <w:szCs w:val="21"/>
        </w:rPr>
        <w:t>月31日，受下游需求波动、新产品研发进度和产业科研项目延后的影响，沈阳非</w:t>
      </w:r>
      <w:proofErr w:type="gramStart"/>
      <w:r>
        <w:rPr>
          <w:rFonts w:cs="Calibri" w:hint="eastAsia"/>
          <w:sz w:val="21"/>
          <w:szCs w:val="21"/>
        </w:rPr>
        <w:t>晶存在</w:t>
      </w:r>
      <w:proofErr w:type="gramEnd"/>
      <w:r w:rsidRPr="00227308">
        <w:rPr>
          <w:rFonts w:cs="Calibri" w:hint="eastAsia"/>
          <w:sz w:val="21"/>
          <w:szCs w:val="21"/>
        </w:rPr>
        <w:t>业绩承诺无法完成的风险</w:t>
      </w:r>
      <w:r>
        <w:rPr>
          <w:rFonts w:cs="Calibri" w:hint="eastAsia"/>
          <w:sz w:val="21"/>
          <w:szCs w:val="21"/>
        </w:rPr>
        <w:t>。</w:t>
      </w:r>
    </w:p>
    <w:p w:rsidR="00BD5676" w:rsidRPr="00BD5676" w:rsidRDefault="00BD5676" w:rsidP="00BD5676">
      <w:pPr>
        <w:pStyle w:val="a3"/>
        <w:spacing w:before="0" w:beforeAutospacing="0" w:after="0" w:afterAutospacing="0" w:line="360" w:lineRule="auto"/>
        <w:ind w:firstLine="560"/>
        <w:jc w:val="both"/>
        <w:rPr>
          <w:rFonts w:cs="Calibri"/>
          <w:sz w:val="21"/>
          <w:szCs w:val="21"/>
        </w:rPr>
      </w:pPr>
      <w:r>
        <w:rPr>
          <w:rFonts w:cs="Calibri" w:hint="eastAsia"/>
          <w:sz w:val="21"/>
          <w:szCs w:val="21"/>
        </w:rPr>
        <w:t>应对措施：公司一方面密切关注沈阳非晶的产品订单、</w:t>
      </w:r>
      <w:r w:rsidRPr="003F357E">
        <w:rPr>
          <w:rFonts w:cs="Calibri" w:hint="eastAsia"/>
          <w:sz w:val="21"/>
          <w:szCs w:val="21"/>
        </w:rPr>
        <w:t>新产品研发进度和产业科研项目</w:t>
      </w:r>
      <w:r>
        <w:rPr>
          <w:rFonts w:cs="Calibri" w:hint="eastAsia"/>
          <w:sz w:val="21"/>
          <w:szCs w:val="21"/>
        </w:rPr>
        <w:t>情况，对业绩承诺完成情况保持实时跟踪；另一方面公司对沈阳非晶的财务情况保持持续监督，保证其会计核算符合上市公司企业会计准则规范。</w:t>
      </w:r>
      <w:r w:rsidRPr="00E3377E">
        <w:rPr>
          <w:rFonts w:cs="Calibri" w:hint="eastAsia"/>
          <w:sz w:val="21"/>
          <w:szCs w:val="21"/>
        </w:rPr>
        <w:t>公司已制定充分预案，</w:t>
      </w:r>
      <w:r>
        <w:rPr>
          <w:rFonts w:cs="Calibri" w:hint="eastAsia"/>
          <w:sz w:val="21"/>
          <w:szCs w:val="21"/>
        </w:rPr>
        <w:t>保障公司利益。</w:t>
      </w:r>
    </w:p>
    <w:bookmarkEnd w:id="51"/>
    <w:bookmarkEnd w:id="52"/>
    <w:p w:rsidR="00A27D66" w:rsidRDefault="00A2119D" w:rsidP="00BD5676">
      <w:pPr>
        <w:pStyle w:val="2"/>
        <w:spacing w:before="300" w:after="300" w:line="320" w:lineRule="exact"/>
        <w:rPr>
          <w:rFonts w:ascii="宋体" w:eastAsia="宋体" w:hAnsi="宋体" w:cs="宋体"/>
          <w:b/>
          <w:bCs/>
          <w:sz w:val="24"/>
          <w:szCs w:val="24"/>
        </w:rPr>
      </w:pPr>
      <w:r>
        <w:rPr>
          <w:rFonts w:ascii="宋体" w:eastAsia="宋体" w:hAnsi="宋体" w:cs="宋体"/>
          <w:b/>
          <w:bCs/>
          <w:sz w:val="24"/>
          <w:szCs w:val="24"/>
        </w:rPr>
        <w:t>十二、报告期内接待调研、沟通、采访等活动</w:t>
      </w:r>
      <w:bookmarkEnd w:id="53"/>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接待时间</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接待地点</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接待方式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接待对象类型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接待对象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谈论的主要内容及提供的资料</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调研的基本情况索引</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2024年06月14日</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深圳证券交易所“互动易平台”http://irm.cninfo.com.cn“云访谈”栏目</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网络平台线上交流</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个人</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全体投资者</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在避免选择性信息披露的前提下，对公司经营情况及业绩情况</w:t>
            </w:r>
            <w:proofErr w:type="gramStart"/>
            <w:r>
              <w:rPr>
                <w:rFonts w:ascii="宋体" w:eastAsia="宋体" w:hAnsi="宋体" w:cs="宋体"/>
                <w:sz w:val="18"/>
                <w:szCs w:val="18"/>
              </w:rPr>
              <w:t>作出</w:t>
            </w:r>
            <w:proofErr w:type="gramEnd"/>
            <w:r>
              <w:rPr>
                <w:rFonts w:ascii="宋体" w:eastAsia="宋体" w:hAnsi="宋体" w:cs="宋体"/>
                <w:sz w:val="18"/>
                <w:szCs w:val="18"/>
              </w:rPr>
              <w:t>说明</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2024年6月14日于巨潮资讯网披露的《广东甘化科工股份有限公司2023年度业绩说明会投资者活动记录表》</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2024年09月12日</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全景网“投资者关系互动平台”</w:t>
            </w:r>
            <w:r>
              <w:rPr>
                <w:rFonts w:ascii="宋体" w:eastAsia="宋体" w:hAnsi="宋体" w:cs="宋体"/>
                <w:sz w:val="18"/>
                <w:szCs w:val="18"/>
              </w:rPr>
              <w:lastRenderedPageBreak/>
              <w:t>（https://ir.p5w.net）</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网络平台线上交流</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个人</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全体投资者</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在避免选择性信息披露的前提下，对公司</w:t>
            </w:r>
            <w:r>
              <w:rPr>
                <w:rFonts w:ascii="宋体" w:eastAsia="宋体" w:hAnsi="宋体" w:cs="宋体"/>
                <w:sz w:val="18"/>
                <w:szCs w:val="18"/>
              </w:rPr>
              <w:lastRenderedPageBreak/>
              <w:t>经营情况及业绩情况</w:t>
            </w:r>
            <w:proofErr w:type="gramStart"/>
            <w:r>
              <w:rPr>
                <w:rFonts w:ascii="宋体" w:eastAsia="宋体" w:hAnsi="宋体" w:cs="宋体"/>
                <w:sz w:val="18"/>
                <w:szCs w:val="18"/>
              </w:rPr>
              <w:t>作出</w:t>
            </w:r>
            <w:proofErr w:type="gramEnd"/>
            <w:r>
              <w:rPr>
                <w:rFonts w:ascii="宋体" w:eastAsia="宋体" w:hAnsi="宋体" w:cs="宋体"/>
                <w:sz w:val="18"/>
                <w:szCs w:val="18"/>
              </w:rPr>
              <w:t>说明</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2024年9月12日于巨潮资讯网披露的</w:t>
            </w:r>
            <w:r>
              <w:rPr>
                <w:rFonts w:ascii="宋体" w:eastAsia="宋体" w:hAnsi="宋体" w:cs="宋体"/>
                <w:sz w:val="18"/>
                <w:szCs w:val="18"/>
              </w:rPr>
              <w:lastRenderedPageBreak/>
              <w:t>《广东甘化科工股份有限公司投资者关系活动记录表》</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2024年01月01日</w:t>
            </w:r>
            <w:r w:rsidR="003A0D22">
              <w:rPr>
                <w:rFonts w:ascii="宋体" w:eastAsia="宋体" w:hAnsi="宋体" w:cs="宋体" w:hint="eastAsia"/>
                <w:sz w:val="18"/>
                <w:szCs w:val="18"/>
              </w:rPr>
              <w:t>至2</w:t>
            </w:r>
            <w:r w:rsidR="003A0D22">
              <w:rPr>
                <w:rFonts w:ascii="宋体" w:eastAsia="宋体" w:hAnsi="宋体" w:cs="宋体"/>
                <w:sz w:val="18"/>
                <w:szCs w:val="18"/>
              </w:rPr>
              <w:t>024</w:t>
            </w:r>
            <w:r w:rsidR="003A0D22">
              <w:rPr>
                <w:rFonts w:ascii="宋体" w:eastAsia="宋体" w:hAnsi="宋体" w:cs="宋体" w:hint="eastAsia"/>
                <w:sz w:val="18"/>
                <w:szCs w:val="18"/>
              </w:rPr>
              <w:t>年1</w:t>
            </w:r>
            <w:r w:rsidR="003A0D22">
              <w:rPr>
                <w:rFonts w:ascii="宋体" w:eastAsia="宋体" w:hAnsi="宋体" w:cs="宋体"/>
                <w:sz w:val="18"/>
                <w:szCs w:val="18"/>
              </w:rPr>
              <w:t>2</w:t>
            </w:r>
            <w:r w:rsidR="003A0D22">
              <w:rPr>
                <w:rFonts w:ascii="宋体" w:eastAsia="宋体" w:hAnsi="宋体" w:cs="宋体" w:hint="eastAsia"/>
                <w:sz w:val="18"/>
                <w:szCs w:val="18"/>
              </w:rPr>
              <w:t>月3</w:t>
            </w:r>
            <w:r w:rsidR="003A0D22">
              <w:rPr>
                <w:rFonts w:ascii="宋体" w:eastAsia="宋体" w:hAnsi="宋体" w:cs="宋体"/>
                <w:sz w:val="18"/>
                <w:szCs w:val="18"/>
              </w:rPr>
              <w:t>1</w:t>
            </w:r>
            <w:r w:rsidR="003A0D22">
              <w:rPr>
                <w:rFonts w:ascii="宋体" w:eastAsia="宋体" w:hAnsi="宋体" w:cs="宋体" w:hint="eastAsia"/>
                <w:sz w:val="18"/>
                <w:szCs w:val="18"/>
              </w:rPr>
              <w:t>日</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非现场接待</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电话沟通</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个人</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全体投资者</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在避免选择性信息披露的前提下，对公司经营情况</w:t>
            </w:r>
            <w:proofErr w:type="gramStart"/>
            <w:r>
              <w:rPr>
                <w:rFonts w:ascii="宋体" w:eastAsia="宋体" w:hAnsi="宋体" w:cs="宋体"/>
                <w:sz w:val="18"/>
                <w:szCs w:val="18"/>
              </w:rPr>
              <w:t>作出</w:t>
            </w:r>
            <w:proofErr w:type="gramEnd"/>
            <w:r>
              <w:rPr>
                <w:rFonts w:ascii="宋体" w:eastAsia="宋体" w:hAnsi="宋体" w:cs="宋体"/>
                <w:sz w:val="18"/>
                <w:szCs w:val="18"/>
              </w:rPr>
              <w:t>说明</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不适用</w:t>
            </w:r>
          </w:p>
        </w:tc>
      </w:tr>
    </w:tbl>
    <w:p w:rsidR="00A27D66" w:rsidRDefault="00A2119D">
      <w:pPr>
        <w:pStyle w:val="2"/>
        <w:spacing w:before="300" w:after="300" w:line="320" w:lineRule="exact"/>
        <w:rPr>
          <w:rFonts w:ascii="宋体" w:eastAsia="宋体" w:hAnsi="宋体" w:cs="宋体"/>
          <w:b/>
          <w:bCs/>
          <w:sz w:val="24"/>
          <w:szCs w:val="24"/>
        </w:rPr>
      </w:pPr>
      <w:bookmarkStart w:id="55" w:name="_Toc988940"/>
      <w:r>
        <w:rPr>
          <w:rFonts w:ascii="宋体" w:eastAsia="宋体" w:hAnsi="宋体" w:cs="宋体"/>
          <w:b/>
          <w:bCs/>
          <w:sz w:val="24"/>
          <w:szCs w:val="24"/>
        </w:rPr>
        <w:t>十三、市值管理制度和估值提升计划的制定落实情况</w:t>
      </w:r>
      <w:bookmarkEnd w:id="55"/>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公司是否制定了市值管理制度。</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公司是否披露了估值提升计划。</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pStyle w:val="2"/>
        <w:spacing w:before="300" w:after="300" w:line="320" w:lineRule="exact"/>
        <w:rPr>
          <w:rFonts w:ascii="宋体" w:eastAsia="宋体" w:hAnsi="宋体" w:cs="宋体"/>
          <w:b/>
          <w:bCs/>
          <w:sz w:val="24"/>
          <w:szCs w:val="24"/>
        </w:rPr>
      </w:pPr>
      <w:bookmarkStart w:id="56" w:name="_Toc988941"/>
      <w:r>
        <w:rPr>
          <w:rFonts w:ascii="宋体" w:eastAsia="宋体" w:hAnsi="宋体" w:cs="宋体"/>
          <w:b/>
          <w:bCs/>
          <w:sz w:val="24"/>
          <w:szCs w:val="24"/>
        </w:rPr>
        <w:t>十四、“质量回报双提升”行动方案贯彻落实情况</w:t>
      </w:r>
      <w:bookmarkEnd w:id="56"/>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公司是否披露了“质量回报双提升”行动方案公告。</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r>
        <w:br w:type="page"/>
      </w:r>
    </w:p>
    <w:p w:rsidR="00A27D66" w:rsidRDefault="00A2119D">
      <w:pPr>
        <w:pStyle w:val="headingh1"/>
        <w:spacing w:before="340" w:after="330" w:line="773" w:lineRule="exact"/>
        <w:jc w:val="center"/>
        <w:rPr>
          <w:rFonts w:ascii="宋体" w:eastAsia="宋体" w:hAnsi="宋体" w:cs="宋体"/>
          <w:b/>
          <w:bCs/>
          <w:sz w:val="32"/>
          <w:szCs w:val="32"/>
        </w:rPr>
      </w:pPr>
      <w:bookmarkStart w:id="57" w:name="_Toc988942"/>
      <w:r>
        <w:rPr>
          <w:rFonts w:ascii="宋体" w:eastAsia="宋体" w:hAnsi="宋体" w:cs="宋体"/>
          <w:b/>
          <w:bCs/>
          <w:sz w:val="32"/>
          <w:szCs w:val="32"/>
        </w:rPr>
        <w:lastRenderedPageBreak/>
        <w:t>第四节 公司治理</w:t>
      </w:r>
      <w:bookmarkEnd w:id="57"/>
    </w:p>
    <w:p w:rsidR="00A27D66" w:rsidRPr="00483DD8" w:rsidRDefault="00A2119D" w:rsidP="00483DD8">
      <w:pPr>
        <w:pStyle w:val="2"/>
        <w:spacing w:before="0" w:after="0" w:line="560" w:lineRule="exact"/>
        <w:rPr>
          <w:rFonts w:ascii="宋体" w:eastAsia="宋体" w:hAnsi="宋体" w:cs="宋体"/>
          <w:b/>
          <w:bCs/>
        </w:rPr>
      </w:pPr>
      <w:bookmarkStart w:id="58" w:name="_Toc988943"/>
      <w:r w:rsidRPr="00483DD8">
        <w:rPr>
          <w:rFonts w:ascii="宋体" w:eastAsia="宋体" w:hAnsi="宋体" w:cs="宋体"/>
          <w:b/>
          <w:bCs/>
        </w:rPr>
        <w:t>一、公司治理的基本状况</w:t>
      </w:r>
      <w:bookmarkEnd w:id="58"/>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Fonts w:hint="eastAsia"/>
          <w:sz w:val="21"/>
          <w:szCs w:val="21"/>
        </w:rPr>
        <w:t>报告期内，公司严格按照《公司法》《证券法》《上市公司治理准则》《深圳证券交易所上市公司自律监管指引第1号—主板上市公司规范运作》等相关法律法规的要求，不断完善公司治理结构，建立健全内部管理和控制制度，持续提升公司治理水平，保障公司规范运作，切实维护股东的合法权益。报告期内，公司治理实际情况符合中国证监会发布的有关上市公司治理的规范性文件要求。</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Style w:val="a4"/>
          <w:rFonts w:hint="eastAsia"/>
          <w:sz w:val="21"/>
          <w:szCs w:val="21"/>
        </w:rPr>
        <w:t>1、关于股东与股东大会</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Fonts w:hint="eastAsia"/>
          <w:sz w:val="21"/>
          <w:szCs w:val="21"/>
        </w:rPr>
        <w:t>公司能够确保所有股东，尤其是中小股东享有平等地位，充分行使自己的权利。在召集、召开股东大会的过程中，严格遵循相关程序，为股东提供充分了解公司重大事项的机会，并确保股东能够有效参与决策。通过现场与网络投票相结合的方式，保障股东行使表决权，使股东能够便捷地参与股东大会并表达意见。在股东大会的决策过程中，对关联交易等涉及股东利益的事项，严格按照规定进行审议和表决，切实保护中小股东的利益不受损害。报告期内，公司共召开2次股东大会，会议均由董事会召集召开，并经律师进行现场见证，不存在违反《上市公司股东大会规则》的情形。</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Style w:val="a4"/>
          <w:rFonts w:hint="eastAsia"/>
          <w:sz w:val="21"/>
          <w:szCs w:val="21"/>
        </w:rPr>
        <w:t>2、关于公司与控股股东</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Fonts w:hint="eastAsia"/>
          <w:sz w:val="21"/>
          <w:szCs w:val="21"/>
        </w:rPr>
        <w:t>公司与控股股东在人员、资产、财务、机构和业务等方面保持独立，各自独立核算、独立承担责任和风险。控股股东依法行使股东权利，未出现超越股东大会直接或间接干预公司决策和经营活动的情况。公司建立了有效的防范</w:t>
      </w:r>
      <w:r w:rsidR="00860FBB">
        <w:rPr>
          <w:rFonts w:hint="eastAsia"/>
          <w:sz w:val="21"/>
          <w:szCs w:val="21"/>
        </w:rPr>
        <w:t>控股股东及其关联方占用公司资金的机制，报告期内，不存在控股股东</w:t>
      </w:r>
      <w:r w:rsidRPr="00483DD8">
        <w:rPr>
          <w:rFonts w:hint="eastAsia"/>
          <w:sz w:val="21"/>
          <w:szCs w:val="21"/>
        </w:rPr>
        <w:t>及其关联方非经营性占用公司资金的情况。</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Style w:val="a4"/>
          <w:rFonts w:hint="eastAsia"/>
          <w:sz w:val="21"/>
          <w:szCs w:val="21"/>
        </w:rPr>
        <w:t>3、关于董事与董事会</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Fonts w:hint="eastAsia"/>
          <w:sz w:val="21"/>
          <w:szCs w:val="21"/>
        </w:rPr>
        <w:t>公司董事会由7名董事组成，其中独立董事3名，董事会的人数及人员构成符合法律法规和公司章程的规定。各位董事能够依据相关法律法规和公司章程赋予的职责，认真履行义务，积极参与公司重大事项的决策，对公司的发展战略、经营管理等方面提出专业意见和建议。董事会下设战略委员会、审计委员会、薪酬与考核委员会、提名委员会等专门委员会，各专门委员会按照各自工作细则的规定，充分发挥专业优势，为董事会决策提供有力支持。独立董事按照独立、客观判断的原则对相关重大事项进行了事前认可，发表了独立意见，对公司重大关联交易等事项进行监督和审查，维护公司和全体股东的利益。</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Style w:val="a4"/>
          <w:rFonts w:hint="eastAsia"/>
          <w:sz w:val="21"/>
          <w:szCs w:val="21"/>
        </w:rPr>
        <w:t>4、关于监事与监事会</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Fonts w:hint="eastAsia"/>
          <w:sz w:val="21"/>
          <w:szCs w:val="21"/>
        </w:rPr>
        <w:lastRenderedPageBreak/>
        <w:t>公司监事会由3名监事组成，其中职工代表监事1名，监事会的人数及人员构成符合法律法规和公司章程的规定。监事会成员能够认真履行职责，对公司财务状况、内部控制、重大事项决策等进行监督检查，确保公司运作符合法律法规和公司章程的要求，维护股东的合法权益。在报告期内，监事会对公司重大事项、财务状况等的决策、依法合</w:t>
      </w:r>
      <w:proofErr w:type="gramStart"/>
      <w:r w:rsidRPr="00483DD8">
        <w:rPr>
          <w:rFonts w:hint="eastAsia"/>
          <w:sz w:val="21"/>
          <w:szCs w:val="21"/>
        </w:rPr>
        <w:t>规</w:t>
      </w:r>
      <w:proofErr w:type="gramEnd"/>
      <w:r w:rsidRPr="00483DD8">
        <w:rPr>
          <w:rFonts w:hint="eastAsia"/>
          <w:sz w:val="21"/>
          <w:szCs w:val="21"/>
        </w:rPr>
        <w:t>运营情况以及董事和高级管理人员履行职责的合法合</w:t>
      </w:r>
      <w:proofErr w:type="gramStart"/>
      <w:r w:rsidRPr="00483DD8">
        <w:rPr>
          <w:rFonts w:hint="eastAsia"/>
          <w:sz w:val="21"/>
          <w:szCs w:val="21"/>
        </w:rPr>
        <w:t>规</w:t>
      </w:r>
      <w:proofErr w:type="gramEnd"/>
      <w:r w:rsidRPr="00483DD8">
        <w:rPr>
          <w:rFonts w:hint="eastAsia"/>
          <w:sz w:val="21"/>
          <w:szCs w:val="21"/>
        </w:rPr>
        <w:t>性进行有效的监督，保障公司的规范运作。</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Style w:val="a4"/>
          <w:rFonts w:hint="eastAsia"/>
          <w:sz w:val="21"/>
          <w:szCs w:val="21"/>
        </w:rPr>
        <w:t>5、关于公司管理层与公司激励约束机制</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Fonts w:hint="eastAsia"/>
          <w:sz w:val="21"/>
          <w:szCs w:val="21"/>
        </w:rPr>
        <w:t>公司依照法定程序聘任或者解聘高级管理人员，对高级管理人员的聘任公开、公平，符合相关法律的要求。报告期内，公司高级管理人员能够严格按照《公司章程》及其他相关管理制度忠实、勤勉、谨慎地履行职责，未发现违法、违规行为。</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Fonts w:hint="eastAsia"/>
          <w:sz w:val="21"/>
          <w:szCs w:val="21"/>
        </w:rPr>
        <w:t>公司建立了较为完善的绩效评价与激励约束机制，对高级管理人员的工作绩效进行科学评价，并根据评价结果给予相应的薪酬和奖励。通过合理的薪酬体系和激励措施，充分调动高级管理人员的工作积极性和创造性，促使其为公司的发展努力工作。同时，公司也制定了相应的约束机制，对违反法律法规、公司章程或损害公司利益的行为进行严肃处理，确保公司的利益得到有效保护。</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Style w:val="a4"/>
          <w:rFonts w:hint="eastAsia"/>
          <w:sz w:val="21"/>
          <w:szCs w:val="21"/>
        </w:rPr>
        <w:t>6、关于相关利益者</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Fonts w:hint="eastAsia"/>
          <w:sz w:val="21"/>
          <w:szCs w:val="21"/>
        </w:rPr>
        <w:t>公司充分尊重和维护股东、员工、供应商和客户等相关利益者的合法权益，积极与相关利益者合作，加强沟通和交流，实现股东、员工、社会等各方利益的均衡，共同推动公司持续、稳定、健康地发展。</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Style w:val="a4"/>
          <w:rFonts w:hint="eastAsia"/>
          <w:sz w:val="21"/>
          <w:szCs w:val="21"/>
        </w:rPr>
        <w:t>7、关于信息披露</w:t>
      </w:r>
    </w:p>
    <w:p w:rsidR="00A2119D" w:rsidRPr="00483DD8" w:rsidRDefault="00A2119D" w:rsidP="00003D92">
      <w:pPr>
        <w:pStyle w:val="a3"/>
        <w:spacing w:before="0" w:beforeAutospacing="0" w:after="0" w:afterAutospacing="0" w:line="360" w:lineRule="auto"/>
        <w:ind w:firstLine="561"/>
        <w:jc w:val="both"/>
        <w:divId w:val="1692609825"/>
        <w:rPr>
          <w:sz w:val="21"/>
          <w:szCs w:val="21"/>
        </w:rPr>
      </w:pPr>
      <w:r w:rsidRPr="00483DD8">
        <w:rPr>
          <w:rFonts w:hint="eastAsia"/>
          <w:sz w:val="21"/>
          <w:szCs w:val="21"/>
        </w:rPr>
        <w:t>公司高度重视信息披露工作，严格按照相关法律法规和监管要求，真实、准确、完整、及时地披露公司的定期报告和临时报告。公司指定《中国证券报》《证券时报》《上海证券报》《证券日报》及巨潮资讯网（http：//www.cninfo.com.cn）为公司信息披露的指定媒体，同时在公司</w:t>
      </w:r>
      <w:proofErr w:type="gramStart"/>
      <w:r w:rsidRPr="00483DD8">
        <w:rPr>
          <w:rFonts w:hint="eastAsia"/>
          <w:sz w:val="21"/>
          <w:szCs w:val="21"/>
        </w:rPr>
        <w:t>官网设立</w:t>
      </w:r>
      <w:proofErr w:type="gramEnd"/>
      <w:r w:rsidRPr="00483DD8">
        <w:rPr>
          <w:rFonts w:hint="eastAsia"/>
          <w:sz w:val="21"/>
          <w:szCs w:val="21"/>
        </w:rPr>
        <w:t>投资者关系专栏，及时发布公司信息，确保投资者能够及时、准确地获取公司相关信息。公司建立了较为完善的信息披露内部管理制度，明确信息披露的责任和流程，加强对信息披露的审核和监督，提高信息披露的质量和透明度。此外，公司积极开展投资者关系管理工作，通过投资者电话、电子邮箱、互动平台等多种渠道，加强与投资者的沟通交流，及时解答投资者关心的问题，增强投资者对公司的了解和信任。</w:t>
      </w:r>
    </w:p>
    <w:p w:rsidR="00A27D66" w:rsidRPr="00917E1A" w:rsidRDefault="00A2119D" w:rsidP="00003D92">
      <w:pPr>
        <w:pStyle w:val="a3"/>
        <w:spacing w:before="0" w:beforeAutospacing="0" w:after="0" w:afterAutospacing="0" w:line="360" w:lineRule="auto"/>
        <w:ind w:firstLine="561"/>
        <w:jc w:val="both"/>
        <w:rPr>
          <w:b/>
          <w:sz w:val="21"/>
          <w:szCs w:val="21"/>
        </w:rPr>
      </w:pPr>
      <w:r w:rsidRPr="00917E1A">
        <w:rPr>
          <w:b/>
          <w:sz w:val="21"/>
          <w:szCs w:val="21"/>
        </w:rPr>
        <w:t>公司治理的实际状况与法律、行政法规和中国证监会发布的关于上市公司治理的规定是否存在重大差异</w:t>
      </w:r>
    </w:p>
    <w:p w:rsidR="00A27D66" w:rsidRPr="00917E1A" w:rsidRDefault="00A2119D" w:rsidP="00003D92">
      <w:pPr>
        <w:pStyle w:val="a3"/>
        <w:spacing w:before="0" w:beforeAutospacing="0" w:after="0" w:afterAutospacing="0" w:line="360" w:lineRule="auto"/>
        <w:ind w:firstLine="561"/>
        <w:jc w:val="both"/>
        <w:rPr>
          <w:sz w:val="21"/>
          <w:szCs w:val="21"/>
        </w:rPr>
      </w:pPr>
      <w:r w:rsidRPr="00917E1A">
        <w:rPr>
          <w:sz w:val="21"/>
          <w:szCs w:val="21"/>
        </w:rPr>
        <w:t xml:space="preserve">□是 </w:t>
      </w:r>
      <w:r w:rsidRPr="00917E1A">
        <w:rPr>
          <w:sz w:val="21"/>
          <w:szCs w:val="21"/>
        </w:rPr>
        <w:sym w:font="Wingdings 2" w:char="F052"/>
      </w:r>
      <w:r w:rsidRPr="00917E1A">
        <w:rPr>
          <w:sz w:val="21"/>
          <w:szCs w:val="21"/>
        </w:rPr>
        <w:t>否</w:t>
      </w:r>
    </w:p>
    <w:p w:rsidR="00A27D66" w:rsidRPr="00917E1A" w:rsidRDefault="00A2119D" w:rsidP="00003D92">
      <w:pPr>
        <w:pStyle w:val="a3"/>
        <w:spacing w:before="0" w:beforeAutospacing="0" w:after="0" w:afterAutospacing="0" w:line="360" w:lineRule="auto"/>
        <w:ind w:firstLine="561"/>
        <w:jc w:val="both"/>
        <w:rPr>
          <w:sz w:val="21"/>
          <w:szCs w:val="21"/>
        </w:rPr>
      </w:pPr>
      <w:r w:rsidRPr="00917E1A">
        <w:rPr>
          <w:sz w:val="21"/>
          <w:szCs w:val="21"/>
        </w:rPr>
        <w:t>公司治理的实际状况与法律、行政法规和中国证监会发布的关于上市公司治理的规定不存在重大差异。</w:t>
      </w:r>
    </w:p>
    <w:p w:rsidR="00A27D66" w:rsidRPr="00483DD8" w:rsidRDefault="00A2119D" w:rsidP="00483DD8">
      <w:pPr>
        <w:pStyle w:val="2"/>
        <w:spacing w:before="0" w:after="0" w:line="560" w:lineRule="exact"/>
        <w:rPr>
          <w:rFonts w:ascii="宋体" w:eastAsia="宋体" w:hAnsi="宋体" w:cs="宋体"/>
          <w:b/>
          <w:bCs/>
        </w:rPr>
      </w:pPr>
      <w:bookmarkStart w:id="59" w:name="_Toc988944"/>
      <w:r w:rsidRPr="00483DD8">
        <w:rPr>
          <w:rFonts w:ascii="宋体" w:eastAsia="宋体" w:hAnsi="宋体" w:cs="宋体"/>
          <w:b/>
          <w:bCs/>
        </w:rPr>
        <w:lastRenderedPageBreak/>
        <w:t>二、公司相对于控股股东、实际控制人在保证公司资产、人员、财务、机构、业务等方面的独立情况</w:t>
      </w:r>
      <w:bookmarkEnd w:id="59"/>
    </w:p>
    <w:p w:rsidR="00A2119D" w:rsidRPr="00483DD8" w:rsidRDefault="00A2119D" w:rsidP="00003D92">
      <w:pPr>
        <w:pStyle w:val="a3"/>
        <w:spacing w:before="0" w:beforeAutospacing="0" w:after="0" w:afterAutospacing="0" w:line="360" w:lineRule="auto"/>
        <w:ind w:firstLine="561"/>
        <w:jc w:val="both"/>
        <w:divId w:val="1371301641"/>
        <w:rPr>
          <w:sz w:val="21"/>
          <w:szCs w:val="21"/>
        </w:rPr>
      </w:pPr>
      <w:r w:rsidRPr="00483DD8">
        <w:rPr>
          <w:rFonts w:hint="eastAsia"/>
          <w:sz w:val="21"/>
          <w:szCs w:val="21"/>
        </w:rPr>
        <w:t>公司始终致力于确保在业务、人员、资产、机构、财务等方面与控股股东、实际控制人保持高度独立，以维护公司的自主运营和全体股东的合法权益。报告期内，公司严格按照《公司法》和《公司章程》等相关法律法规的规定，持续强化独立性管理，独立性情况良好。</w:t>
      </w:r>
    </w:p>
    <w:p w:rsidR="00A2119D" w:rsidRPr="00483DD8" w:rsidRDefault="00A2119D" w:rsidP="00003D92">
      <w:pPr>
        <w:pStyle w:val="a3"/>
        <w:spacing w:before="0" w:beforeAutospacing="0" w:after="0" w:afterAutospacing="0" w:line="360" w:lineRule="auto"/>
        <w:ind w:firstLine="561"/>
        <w:jc w:val="both"/>
        <w:divId w:val="1371301641"/>
        <w:rPr>
          <w:sz w:val="21"/>
          <w:szCs w:val="21"/>
        </w:rPr>
      </w:pPr>
      <w:r w:rsidRPr="00483DD8">
        <w:rPr>
          <w:rFonts w:hint="eastAsia"/>
          <w:sz w:val="21"/>
          <w:szCs w:val="21"/>
        </w:rPr>
        <w:t>1、业务独立方面：公司拥有独立完整的业务体系和直接面向市场独立经营的能力。公司的业务独立于控股股东、实际控制人及其控制的其他企业，与控股股东、实际控制人及其控制的其他企业之间不存在同业竞争，且在业务上不存在对控股股东、实际控制人及其控制的其他企业的依赖。公司能够自主开展业务活动，独立开拓市场，在业务方面具有较强的独立性和自主性。</w:t>
      </w:r>
    </w:p>
    <w:p w:rsidR="00A2119D" w:rsidRPr="00483DD8" w:rsidRDefault="00A2119D" w:rsidP="00003D92">
      <w:pPr>
        <w:pStyle w:val="a3"/>
        <w:spacing w:before="0" w:beforeAutospacing="0" w:after="0" w:afterAutospacing="0" w:line="360" w:lineRule="auto"/>
        <w:ind w:firstLine="561"/>
        <w:jc w:val="both"/>
        <w:divId w:val="1371301641"/>
        <w:rPr>
          <w:sz w:val="21"/>
          <w:szCs w:val="21"/>
        </w:rPr>
      </w:pPr>
      <w:r w:rsidRPr="00483DD8">
        <w:rPr>
          <w:rFonts w:hint="eastAsia"/>
          <w:sz w:val="21"/>
          <w:szCs w:val="21"/>
        </w:rPr>
        <w:t>2、人员独立方面：公司建立了独立的劳动、人事及薪酬管理体系。公司的董事、监事均严格按照《公司法》《公司章程》等相关规定选举产生。公司高级管理人员均由董事会聘任，在公司领取薪酬，未在控股股东、实际控制人及其控制的其他企业中担任除董事、监事以外的其他职务和领取薪酬。公司的财务人员也未在控股股东、实际控制人及其控制的其他企业中兼职。公司拥有独立的员工队伍，能够自主招聘、培训和管理员工，人员独立于控股股东、实际控制人。</w:t>
      </w:r>
    </w:p>
    <w:p w:rsidR="00A2119D" w:rsidRPr="00483DD8" w:rsidRDefault="00A2119D" w:rsidP="00003D92">
      <w:pPr>
        <w:pStyle w:val="a3"/>
        <w:spacing w:before="0" w:beforeAutospacing="0" w:after="0" w:afterAutospacing="0" w:line="360" w:lineRule="auto"/>
        <w:ind w:firstLine="561"/>
        <w:jc w:val="both"/>
        <w:divId w:val="1371301641"/>
        <w:rPr>
          <w:sz w:val="21"/>
          <w:szCs w:val="21"/>
        </w:rPr>
      </w:pPr>
      <w:r w:rsidRPr="00483DD8">
        <w:rPr>
          <w:rFonts w:hint="eastAsia"/>
          <w:sz w:val="21"/>
          <w:szCs w:val="21"/>
        </w:rPr>
        <w:t>3、资产独立方面：公司拥有独立完整的生产经营设备、土地、房产等有形资产以及商标、专利、专有技术等无形资产，具备与生产经营有关的生产系统、辅助生产系统和配套设施。公司对各项资产拥有合法的所有权和使用权，资产权属清晰，不存在资产被控股股东、实际控制人及其控制的其他企业违规占用的情形。公司资产独立于控股股东、实际控制人，能够独立开展生产经营活动，保证了公司资产的完整性和独立性。</w:t>
      </w:r>
    </w:p>
    <w:p w:rsidR="00A2119D" w:rsidRPr="00483DD8" w:rsidRDefault="00A2119D" w:rsidP="00003D92">
      <w:pPr>
        <w:pStyle w:val="a3"/>
        <w:spacing w:before="0" w:beforeAutospacing="0" w:after="0" w:afterAutospacing="0" w:line="360" w:lineRule="auto"/>
        <w:ind w:firstLine="561"/>
        <w:jc w:val="both"/>
        <w:divId w:val="1371301641"/>
        <w:rPr>
          <w:sz w:val="21"/>
          <w:szCs w:val="21"/>
        </w:rPr>
      </w:pPr>
      <w:r w:rsidRPr="00483DD8">
        <w:rPr>
          <w:rFonts w:hint="eastAsia"/>
          <w:sz w:val="21"/>
          <w:szCs w:val="21"/>
        </w:rPr>
        <w:t>4、机构独立方面：公司根据自身经营发展需要，建立了健全的内部管理机构，各部门职责明确、分工合理，能够独立行使经营管理职权。公司的办公场所与控股股东、实际控制人及其控制的其他企业分开，不存在混合经营、合署办公的情况。公司拥有独立的生产经营和办公机构，独立于控股股东、实际控制人，能够确保公司经营管理活动的独立开展。</w:t>
      </w:r>
    </w:p>
    <w:p w:rsidR="00A2119D" w:rsidRPr="00483DD8" w:rsidRDefault="00A2119D" w:rsidP="00003D92">
      <w:pPr>
        <w:pStyle w:val="a3"/>
        <w:spacing w:before="0" w:beforeAutospacing="0" w:after="0" w:afterAutospacing="0" w:line="360" w:lineRule="auto"/>
        <w:ind w:firstLine="561"/>
        <w:jc w:val="both"/>
        <w:divId w:val="1371301641"/>
        <w:rPr>
          <w:sz w:val="21"/>
          <w:szCs w:val="21"/>
        </w:rPr>
      </w:pPr>
      <w:r w:rsidRPr="00483DD8">
        <w:rPr>
          <w:rFonts w:hint="eastAsia"/>
          <w:sz w:val="21"/>
          <w:szCs w:val="21"/>
        </w:rPr>
        <w:t>5、财务独立方面：公司设立了独立的财务部门，配备了独立的财务人员，建立了独立的财务核算体系和财务管理制度，能够独立进行财务决策。公司在银行独立开立账户，依法独立纳税，不存在与控股股东、实际控制人及其控制的其他企业共用银行账户的情形。公司的财务独立于控股股东、实际控制人，能够保证公司财务运作的独立性和规范性。</w:t>
      </w:r>
    </w:p>
    <w:p w:rsidR="00A27D66" w:rsidRDefault="00A2119D">
      <w:pPr>
        <w:pStyle w:val="2"/>
        <w:spacing w:before="300" w:after="300" w:line="320" w:lineRule="exact"/>
        <w:rPr>
          <w:rFonts w:ascii="宋体" w:eastAsia="宋体" w:hAnsi="宋体" w:cs="宋体"/>
          <w:b/>
          <w:bCs/>
          <w:sz w:val="24"/>
          <w:szCs w:val="24"/>
        </w:rPr>
      </w:pPr>
      <w:bookmarkStart w:id="60" w:name="_Toc988945"/>
      <w:r>
        <w:rPr>
          <w:rFonts w:ascii="宋体" w:eastAsia="宋体" w:hAnsi="宋体" w:cs="宋体"/>
          <w:b/>
          <w:bCs/>
          <w:sz w:val="24"/>
          <w:szCs w:val="24"/>
        </w:rPr>
        <w:t>三、同业竞争情况</w:t>
      </w:r>
      <w:bookmarkEnd w:id="60"/>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61" w:name="_Toc988946"/>
      <w:r>
        <w:rPr>
          <w:rFonts w:ascii="宋体" w:eastAsia="宋体" w:hAnsi="宋体" w:cs="宋体"/>
          <w:b/>
          <w:bCs/>
          <w:sz w:val="24"/>
          <w:szCs w:val="24"/>
        </w:rPr>
        <w:lastRenderedPageBreak/>
        <w:t>四、报告期内召开的年度股东大会和临时股东大会的有关情况</w:t>
      </w:r>
      <w:bookmarkEnd w:id="61"/>
    </w:p>
    <w:p w:rsidR="00A27D66" w:rsidRDefault="00A2119D">
      <w:pPr>
        <w:pStyle w:val="3"/>
        <w:spacing w:line="280" w:lineRule="exact"/>
        <w:jc w:val="left"/>
        <w:rPr>
          <w:rFonts w:ascii="宋体" w:hAnsi="宋体" w:cs="宋体"/>
          <w:b/>
          <w:bCs/>
        </w:rPr>
      </w:pPr>
      <w:bookmarkStart w:id="62" w:name="_Toc988947"/>
      <w:r>
        <w:rPr>
          <w:rFonts w:ascii="宋体" w:hAnsi="宋体" w:cs="宋体"/>
          <w:b/>
          <w:bCs/>
        </w:rPr>
        <w:t>1、本报告期股东大会情况</w:t>
      </w:r>
      <w:bookmarkEnd w:id="6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229"/>
        <w:gridCol w:w="993"/>
        <w:gridCol w:w="1134"/>
        <w:gridCol w:w="1134"/>
        <w:gridCol w:w="3543"/>
      </w:tblGrid>
      <w:tr w:rsidR="00A27D66" w:rsidTr="00483DD8">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122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会议类型</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投资者参与比例</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354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A27D66" w:rsidTr="00483DD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2024年第一次临时股东大会</w:t>
            </w:r>
          </w:p>
        </w:tc>
        <w:tc>
          <w:tcPr>
            <w:tcW w:w="122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临时股东大会</w:t>
            </w:r>
          </w:p>
        </w:tc>
        <w:tc>
          <w:tcPr>
            <w:tcW w:w="99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36.03%</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2024年01月17日</w:t>
            </w:r>
          </w:p>
        </w:tc>
        <w:tc>
          <w:tcPr>
            <w:tcW w:w="354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本次会议以现场记名投票和网络投票相结合的表决方式审议并通过了如下提案：1.01选举</w:t>
            </w:r>
            <w:r w:rsidR="003136B3" w:rsidRPr="003136B3">
              <w:rPr>
                <w:rFonts w:ascii="宋体" w:eastAsia="宋体" w:hAnsi="宋体" w:cs="宋体" w:hint="eastAsia"/>
                <w:sz w:val="18"/>
                <w:szCs w:val="18"/>
              </w:rPr>
              <w:t>胡煜</w:t>
            </w:r>
            <w:r w:rsidR="003136B3" w:rsidRPr="001E45DA">
              <w:rPr>
                <w:rFonts w:ascii="微软雅黑" w:eastAsia="微软雅黑" w:hAnsi="微软雅黑" w:cs="微软雅黑" w:hint="eastAsia"/>
                <w:sz w:val="18"/>
                <w:szCs w:val="18"/>
              </w:rPr>
              <w:t>𨱑</w:t>
            </w:r>
            <w:r w:rsidRPr="001E45DA">
              <w:rPr>
                <w:rFonts w:ascii="宋体" w:eastAsia="宋体" w:hAnsi="宋体" w:cs="宋体"/>
                <w:sz w:val="18"/>
                <w:szCs w:val="18"/>
              </w:rPr>
              <w:t>先生</w:t>
            </w:r>
            <w:r>
              <w:rPr>
                <w:rFonts w:ascii="宋体" w:eastAsia="宋体" w:hAnsi="宋体" w:cs="宋体"/>
                <w:sz w:val="18"/>
                <w:szCs w:val="18"/>
              </w:rPr>
              <w:t>为公司第十一届董事会非独立董事；1.02选举李忠先生为公司第十一届董事会非独立董事；1.03选举杨定轶先生为公司第十一届董事会非独立董事；1.04选举吕凌先生为公司第十一届董事会非独立董事；2.01选举廖义刚先生为公司第十一届董事会独立董事；2.02选举钟刚先生为公司第十一届董事会独立董事；2.03选举杨乃定先生为公司第十一届董事会独立董事；3.01选举邵林芳先生为公司第十一届监事会监事；3.02选举包秀成先生为公司第十一届监事会监事；4、关于注销回购专用证券账户剩余回购股份的议案；5、关于减少注册资本</w:t>
            </w:r>
            <w:proofErr w:type="gramStart"/>
            <w:r>
              <w:rPr>
                <w:rFonts w:ascii="宋体" w:eastAsia="宋体" w:hAnsi="宋体" w:cs="宋体"/>
                <w:sz w:val="18"/>
                <w:szCs w:val="18"/>
              </w:rPr>
              <w:t>暨修改</w:t>
            </w:r>
            <w:proofErr w:type="gramEnd"/>
            <w:r>
              <w:rPr>
                <w:rFonts w:ascii="宋体" w:eastAsia="宋体" w:hAnsi="宋体" w:cs="宋体"/>
                <w:sz w:val="18"/>
                <w:szCs w:val="18"/>
              </w:rPr>
              <w:t>《公司章程》的议案；6、关于修订《独立董事工作制度》的议案；7、关于修订《董事会议事规则》的议案。</w:t>
            </w:r>
          </w:p>
        </w:tc>
      </w:tr>
      <w:tr w:rsidR="00A27D66" w:rsidTr="00483DD8">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2023年度股东大会</w:t>
            </w:r>
          </w:p>
        </w:tc>
        <w:tc>
          <w:tcPr>
            <w:tcW w:w="122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年度股东大会</w:t>
            </w:r>
          </w:p>
        </w:tc>
        <w:tc>
          <w:tcPr>
            <w:tcW w:w="99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36.21%</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2024年06月13日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2024年06月14日</w:t>
            </w:r>
          </w:p>
        </w:tc>
        <w:tc>
          <w:tcPr>
            <w:tcW w:w="354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本次会议以现场记名投票和网络投票相结合的表决方式审议并通过了如下提案：1、2023年度董事会工作报告；2、2023年度监事会工作报告；3、2023年度报告及年度报告摘要；4、2023年度财务报告；5、2023年度利润分配预案；6、关于续聘公司2024年度审计机构的议案；7、关于2021年限制性股票激励计划首次授予第三个解除限售期及预留授予第二个解除限售期解除限售条件未成就暨回购注销部分限制性股票的议案；8、关于修订《分红管理制度》的议案；9、关于减少注册资本</w:t>
            </w:r>
            <w:proofErr w:type="gramStart"/>
            <w:r>
              <w:rPr>
                <w:rFonts w:ascii="宋体" w:eastAsia="宋体" w:hAnsi="宋体" w:cs="宋体"/>
                <w:sz w:val="18"/>
                <w:szCs w:val="18"/>
              </w:rPr>
              <w:t>暨修改</w:t>
            </w:r>
            <w:proofErr w:type="gramEnd"/>
            <w:r>
              <w:rPr>
                <w:rFonts w:ascii="宋体" w:eastAsia="宋体" w:hAnsi="宋体" w:cs="宋体"/>
                <w:sz w:val="18"/>
                <w:szCs w:val="18"/>
              </w:rPr>
              <w:t>《公司章程》的议案。</w:t>
            </w:r>
          </w:p>
        </w:tc>
      </w:tr>
    </w:tbl>
    <w:p w:rsidR="00A27D66" w:rsidRDefault="00A2119D">
      <w:pPr>
        <w:pStyle w:val="3"/>
        <w:spacing w:line="280" w:lineRule="exact"/>
        <w:jc w:val="left"/>
        <w:rPr>
          <w:rFonts w:ascii="宋体" w:hAnsi="宋体" w:cs="宋体"/>
          <w:b/>
          <w:bCs/>
        </w:rPr>
      </w:pPr>
      <w:bookmarkStart w:id="63" w:name="_Toc988948"/>
      <w:r>
        <w:rPr>
          <w:rFonts w:ascii="宋体" w:hAnsi="宋体" w:cs="宋体"/>
          <w:b/>
          <w:bCs/>
        </w:rPr>
        <w:t>2、表决权恢复的优先股股东请求召开临时股东大会</w:t>
      </w:r>
      <w:bookmarkEnd w:id="63"/>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64" w:name="_Toc988949"/>
      <w:r>
        <w:rPr>
          <w:rFonts w:ascii="宋体" w:eastAsia="宋体" w:hAnsi="宋体" w:cs="宋体"/>
          <w:b/>
          <w:bCs/>
          <w:sz w:val="24"/>
          <w:szCs w:val="24"/>
        </w:rPr>
        <w:t>五、董事、监事和高级管理人员情况</w:t>
      </w:r>
      <w:bookmarkEnd w:id="64"/>
    </w:p>
    <w:p w:rsidR="00A27D66" w:rsidRDefault="00A2119D">
      <w:pPr>
        <w:pStyle w:val="3"/>
        <w:spacing w:line="280" w:lineRule="exact"/>
        <w:jc w:val="left"/>
        <w:rPr>
          <w:rFonts w:ascii="宋体" w:hAnsi="宋体" w:cs="宋体"/>
          <w:b/>
          <w:bCs/>
        </w:rPr>
      </w:pPr>
      <w:bookmarkStart w:id="65" w:name="_Toc988950"/>
      <w:r>
        <w:rPr>
          <w:rFonts w:ascii="宋体" w:hAnsi="宋体" w:cs="宋体"/>
          <w:b/>
          <w:bCs/>
        </w:rPr>
        <w:t>1、基本情况</w:t>
      </w:r>
      <w:bookmarkEnd w:id="6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2"/>
        <w:gridCol w:w="742"/>
        <w:gridCol w:w="742"/>
        <w:gridCol w:w="742"/>
        <w:gridCol w:w="742"/>
        <w:gridCol w:w="742"/>
        <w:gridCol w:w="741"/>
        <w:gridCol w:w="741"/>
        <w:gridCol w:w="741"/>
        <w:gridCol w:w="741"/>
        <w:gridCol w:w="741"/>
        <w:gridCol w:w="741"/>
        <w:gridCol w:w="741"/>
      </w:tblGrid>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性别</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年龄</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职务</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任职状态</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任期起始日期</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任期终止日期</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期初持股数（股）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本期增持股份数量（股）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本期减持股份数量（股）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其他增减变动（股）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期末持股数（股）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股份增减变动的原因</w:t>
            </w:r>
          </w:p>
        </w:tc>
      </w:tr>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A27D66" w:rsidRPr="003136B3" w:rsidRDefault="003136B3">
            <w:pPr>
              <w:spacing w:line="240" w:lineRule="exact"/>
              <w:rPr>
                <w:rFonts w:ascii="宋体" w:eastAsia="宋体" w:hAnsi="宋体" w:cs="宋体"/>
                <w:sz w:val="18"/>
                <w:szCs w:val="18"/>
              </w:rPr>
            </w:pPr>
            <w:r w:rsidRPr="003136B3">
              <w:rPr>
                <w:rFonts w:ascii="宋体" w:eastAsia="宋体" w:hAnsi="宋体" w:cs="宋体" w:hint="eastAsia"/>
                <w:sz w:val="18"/>
                <w:szCs w:val="18"/>
              </w:rPr>
              <w:t>胡煜</w:t>
            </w:r>
            <w:r w:rsidRPr="003136B3">
              <w:rPr>
                <w:rFonts w:ascii="微软雅黑" w:eastAsia="微软雅黑" w:hAnsi="微软雅黑" w:cs="微软雅黑" w:hint="eastAsia"/>
                <w:sz w:val="18"/>
                <w:szCs w:val="18"/>
              </w:rPr>
              <w:lastRenderedPageBreak/>
              <w:t>𨱑</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男</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w:t>
            </w:r>
            <w:r>
              <w:rPr>
                <w:rFonts w:ascii="宋体" w:eastAsia="宋体" w:hAnsi="宋体" w:cs="宋体"/>
                <w:sz w:val="18"/>
                <w:szCs w:val="18"/>
              </w:rPr>
              <w:lastRenderedPageBreak/>
              <w:t>长</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现任</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2021</w:t>
            </w:r>
            <w:r>
              <w:rPr>
                <w:rFonts w:ascii="宋体" w:eastAsia="宋体" w:hAnsi="宋体" w:cs="宋体"/>
                <w:sz w:val="18"/>
                <w:szCs w:val="18"/>
              </w:rPr>
              <w:lastRenderedPageBreak/>
              <w:t>年06月17日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2027</w:t>
            </w:r>
            <w:r>
              <w:rPr>
                <w:rFonts w:ascii="宋体" w:eastAsia="宋体" w:hAnsi="宋体" w:cs="宋体"/>
                <w:sz w:val="18"/>
                <w:szCs w:val="18"/>
              </w:rPr>
              <w:lastRenderedPageBreak/>
              <w:t>年01月15日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lastRenderedPageBreak/>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李忠</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副董事长、总经理</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2027年01月15日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116,740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-74,256</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42,484</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股权激励限制性股票被回购注销</w:t>
            </w:r>
          </w:p>
        </w:tc>
      </w:tr>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吕凌</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48</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2021年02月05日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2027年01月15日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杨定轶</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董事、副总经理</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2027年01月15日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87,000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-64,000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23,000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股权激励限制性股票被回购注销</w:t>
            </w:r>
          </w:p>
        </w:tc>
      </w:tr>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杨乃定</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2027年01月15日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廖义刚</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48</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2021年02月05日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2027年01月15日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钟刚</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47</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2021年02月05日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2027年01月15日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邵林芳</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2021年02月05日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2027年01月15日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包秀成</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53</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监事</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2014年12月29日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2027年01月15日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沈峰</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职工监事</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2015年08月06日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2027年01月15日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883B9E" w:rsidTr="00C85DA6">
        <w:trPr>
          <w:trHeight w:val="240"/>
        </w:trPr>
        <w:tc>
          <w:tcPr>
            <w:tcW w:w="741" w:type="dxa"/>
            <w:vMerge w:val="restart"/>
            <w:tcBorders>
              <w:top w:val="single" w:sz="2" w:space="0" w:color="auto"/>
              <w:left w:val="single" w:sz="2" w:space="0" w:color="auto"/>
              <w:right w:val="single" w:sz="2" w:space="0" w:color="auto"/>
            </w:tcBorders>
            <w:vAlign w:val="center"/>
          </w:tcPr>
          <w:p w:rsidR="00883B9E" w:rsidRDefault="00883B9E" w:rsidP="00C85DA6">
            <w:pPr>
              <w:spacing w:line="240" w:lineRule="exact"/>
              <w:rPr>
                <w:rFonts w:ascii="宋体" w:eastAsia="宋体" w:hAnsi="宋体" w:cs="宋体"/>
                <w:sz w:val="18"/>
                <w:szCs w:val="18"/>
              </w:rPr>
            </w:pPr>
            <w:r>
              <w:rPr>
                <w:rFonts w:ascii="宋体" w:eastAsia="宋体" w:hAnsi="宋体" w:cs="宋体"/>
                <w:sz w:val="18"/>
                <w:szCs w:val="18"/>
              </w:rPr>
              <w:t>陈波</w:t>
            </w:r>
          </w:p>
        </w:tc>
        <w:tc>
          <w:tcPr>
            <w:tcW w:w="741" w:type="dxa"/>
            <w:vMerge w:val="restart"/>
            <w:tcBorders>
              <w:top w:val="single" w:sz="2" w:space="0" w:color="auto"/>
              <w:left w:val="single" w:sz="2" w:space="0" w:color="auto"/>
              <w:right w:val="single" w:sz="2" w:space="0" w:color="auto"/>
            </w:tcBorders>
            <w:vAlign w:val="center"/>
          </w:tcPr>
          <w:p w:rsidR="00883B9E" w:rsidRDefault="00883B9E" w:rsidP="00C85DA6">
            <w:pPr>
              <w:spacing w:line="240" w:lineRule="exact"/>
              <w:rPr>
                <w:rFonts w:ascii="宋体" w:eastAsia="宋体" w:hAnsi="宋体" w:cs="宋体"/>
                <w:sz w:val="18"/>
                <w:szCs w:val="18"/>
              </w:rPr>
            </w:pPr>
            <w:r>
              <w:rPr>
                <w:rFonts w:ascii="宋体" w:eastAsia="宋体" w:hAnsi="宋体" w:cs="宋体"/>
                <w:sz w:val="18"/>
                <w:szCs w:val="18"/>
              </w:rPr>
              <w:t>男</w:t>
            </w:r>
          </w:p>
        </w:tc>
        <w:tc>
          <w:tcPr>
            <w:tcW w:w="741" w:type="dxa"/>
            <w:vMerge w:val="restart"/>
            <w:tcBorders>
              <w:top w:val="single" w:sz="2" w:space="0" w:color="auto"/>
              <w:left w:val="single" w:sz="2" w:space="0" w:color="auto"/>
              <w:right w:val="single" w:sz="2" w:space="0" w:color="auto"/>
            </w:tcBorders>
            <w:vAlign w:val="center"/>
          </w:tcPr>
          <w:p w:rsidR="00883B9E" w:rsidRDefault="00883B9E" w:rsidP="00883B9E">
            <w:pPr>
              <w:spacing w:line="240" w:lineRule="exact"/>
              <w:jc w:val="right"/>
              <w:rPr>
                <w:rFonts w:ascii="宋体" w:eastAsia="宋体" w:hAnsi="宋体" w:cs="宋体"/>
                <w:sz w:val="18"/>
                <w:szCs w:val="18"/>
              </w:rPr>
            </w:pPr>
            <w:r>
              <w:rPr>
                <w:rFonts w:ascii="宋体" w:eastAsia="宋体" w:hAnsi="宋体" w:cs="宋体"/>
                <w:sz w:val="18"/>
                <w:szCs w:val="18"/>
              </w:rPr>
              <w:t>35</w:t>
            </w:r>
          </w:p>
        </w:tc>
        <w:tc>
          <w:tcPr>
            <w:tcW w:w="741" w:type="dxa"/>
            <w:tcBorders>
              <w:top w:val="single" w:sz="2" w:space="0" w:color="auto"/>
              <w:left w:val="single" w:sz="2" w:space="0" w:color="auto"/>
              <w:bottom w:val="single" w:sz="2" w:space="0" w:color="auto"/>
              <w:right w:val="single" w:sz="2" w:space="0" w:color="auto"/>
            </w:tcBorders>
            <w:vAlign w:val="center"/>
          </w:tcPr>
          <w:p w:rsidR="00883B9E" w:rsidRDefault="00883B9E">
            <w:pPr>
              <w:spacing w:line="240" w:lineRule="exact"/>
              <w:rPr>
                <w:rFonts w:ascii="宋体" w:eastAsia="宋体" w:hAnsi="宋体" w:cs="宋体"/>
                <w:sz w:val="18"/>
                <w:szCs w:val="18"/>
              </w:rPr>
            </w:pPr>
            <w:r>
              <w:rPr>
                <w:rFonts w:ascii="宋体" w:eastAsia="宋体" w:hAnsi="宋体" w:cs="宋体"/>
                <w:sz w:val="18"/>
                <w:szCs w:val="18"/>
              </w:rPr>
              <w:t>董事会秘书</w:t>
            </w:r>
          </w:p>
        </w:tc>
        <w:tc>
          <w:tcPr>
            <w:tcW w:w="741" w:type="dxa"/>
            <w:tcBorders>
              <w:top w:val="single" w:sz="2" w:space="0" w:color="auto"/>
              <w:left w:val="single" w:sz="2" w:space="0" w:color="auto"/>
              <w:bottom w:val="single" w:sz="2" w:space="0" w:color="auto"/>
              <w:right w:val="single" w:sz="2" w:space="0" w:color="auto"/>
            </w:tcBorders>
            <w:vAlign w:val="center"/>
          </w:tcPr>
          <w:p w:rsidR="00883B9E" w:rsidRDefault="00883B9E">
            <w:pPr>
              <w:spacing w:line="240" w:lineRule="exact"/>
              <w:rPr>
                <w:rFonts w:ascii="宋体" w:eastAsia="宋体" w:hAnsi="宋体" w:cs="宋体"/>
                <w:sz w:val="18"/>
                <w:szCs w:val="18"/>
              </w:rPr>
            </w:pPr>
            <w:r>
              <w:rPr>
                <w:rFonts w:ascii="宋体" w:eastAsia="宋体" w:hAnsi="宋体" w:cs="宋体"/>
                <w:sz w:val="18"/>
                <w:szCs w:val="18"/>
              </w:rPr>
              <w:t>现任</w:t>
            </w:r>
          </w:p>
        </w:tc>
        <w:tc>
          <w:tcPr>
            <w:tcW w:w="741" w:type="dxa"/>
            <w:tcBorders>
              <w:top w:val="single" w:sz="2" w:space="0" w:color="auto"/>
              <w:left w:val="single" w:sz="2" w:space="0" w:color="auto"/>
              <w:bottom w:val="single" w:sz="2" w:space="0" w:color="auto"/>
              <w:right w:val="single" w:sz="2" w:space="0" w:color="auto"/>
            </w:tcBorders>
            <w:vAlign w:val="center"/>
          </w:tcPr>
          <w:p w:rsidR="00883B9E" w:rsidRDefault="00883B9E">
            <w:pPr>
              <w:spacing w:line="240" w:lineRule="exact"/>
              <w:rPr>
                <w:rFonts w:ascii="宋体" w:eastAsia="宋体" w:hAnsi="宋体" w:cs="宋体"/>
                <w:sz w:val="18"/>
                <w:szCs w:val="18"/>
              </w:rPr>
            </w:pPr>
            <w:r>
              <w:rPr>
                <w:rFonts w:ascii="宋体" w:eastAsia="宋体" w:hAnsi="宋体" w:cs="宋体"/>
                <w:sz w:val="18"/>
                <w:szCs w:val="18"/>
              </w:rPr>
              <w:t>2023年03月06日</w:t>
            </w:r>
          </w:p>
        </w:tc>
        <w:tc>
          <w:tcPr>
            <w:tcW w:w="741" w:type="dxa"/>
            <w:tcBorders>
              <w:top w:val="single" w:sz="2" w:space="0" w:color="auto"/>
              <w:left w:val="single" w:sz="2" w:space="0" w:color="auto"/>
              <w:bottom w:val="single" w:sz="2" w:space="0" w:color="auto"/>
              <w:right w:val="single" w:sz="2" w:space="0" w:color="auto"/>
            </w:tcBorders>
            <w:vAlign w:val="center"/>
          </w:tcPr>
          <w:p w:rsidR="00883B9E" w:rsidRDefault="00883B9E">
            <w:pPr>
              <w:spacing w:line="240" w:lineRule="exact"/>
              <w:rPr>
                <w:rFonts w:ascii="宋体" w:eastAsia="宋体" w:hAnsi="宋体" w:cs="宋体"/>
                <w:sz w:val="18"/>
                <w:szCs w:val="18"/>
              </w:rPr>
            </w:pPr>
            <w:r>
              <w:rPr>
                <w:rFonts w:ascii="宋体" w:eastAsia="宋体" w:hAnsi="宋体" w:cs="宋体"/>
                <w:sz w:val="18"/>
                <w:szCs w:val="18"/>
              </w:rPr>
              <w:t>2027年01月15日</w:t>
            </w:r>
          </w:p>
        </w:tc>
        <w:tc>
          <w:tcPr>
            <w:tcW w:w="741" w:type="dxa"/>
            <w:vMerge w:val="restart"/>
            <w:tcBorders>
              <w:top w:val="single" w:sz="2" w:space="0" w:color="auto"/>
              <w:left w:val="single" w:sz="2" w:space="0" w:color="auto"/>
              <w:right w:val="single" w:sz="2" w:space="0" w:color="auto"/>
            </w:tcBorders>
            <w:vAlign w:val="center"/>
          </w:tcPr>
          <w:p w:rsidR="00883B9E" w:rsidRDefault="00883B9E" w:rsidP="00883B9E">
            <w:pPr>
              <w:spacing w:line="240" w:lineRule="exact"/>
              <w:jc w:val="right"/>
              <w:rPr>
                <w:rFonts w:ascii="宋体" w:eastAsia="宋体" w:hAnsi="宋体" w:cs="宋体"/>
                <w:sz w:val="18"/>
                <w:szCs w:val="18"/>
              </w:rPr>
            </w:pPr>
            <w:r>
              <w:rPr>
                <w:rFonts w:ascii="宋体" w:eastAsia="宋体" w:hAnsi="宋体" w:cs="宋体"/>
                <w:sz w:val="18"/>
                <w:szCs w:val="18"/>
              </w:rPr>
              <w:t>151,130</w:t>
            </w:r>
          </w:p>
        </w:tc>
        <w:tc>
          <w:tcPr>
            <w:tcW w:w="741" w:type="dxa"/>
            <w:vMerge w:val="restart"/>
            <w:tcBorders>
              <w:top w:val="single" w:sz="2" w:space="0" w:color="auto"/>
              <w:left w:val="single" w:sz="2" w:space="0" w:color="auto"/>
              <w:right w:val="single" w:sz="2" w:space="0" w:color="auto"/>
            </w:tcBorders>
            <w:vAlign w:val="center"/>
          </w:tcPr>
          <w:p w:rsidR="00883B9E" w:rsidRDefault="00883B9E" w:rsidP="00883B9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Merge w:val="restart"/>
            <w:tcBorders>
              <w:top w:val="single" w:sz="2" w:space="0" w:color="auto"/>
              <w:left w:val="single" w:sz="2" w:space="0" w:color="auto"/>
              <w:right w:val="single" w:sz="2" w:space="0" w:color="auto"/>
            </w:tcBorders>
            <w:vAlign w:val="center"/>
          </w:tcPr>
          <w:p w:rsidR="00883B9E" w:rsidRDefault="00883B9E" w:rsidP="00883B9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Merge w:val="restart"/>
            <w:tcBorders>
              <w:top w:val="single" w:sz="2" w:space="0" w:color="auto"/>
              <w:left w:val="single" w:sz="2" w:space="0" w:color="auto"/>
              <w:right w:val="single" w:sz="2" w:space="0" w:color="auto"/>
            </w:tcBorders>
            <w:vAlign w:val="center"/>
          </w:tcPr>
          <w:p w:rsidR="00883B9E" w:rsidRDefault="00883B9E" w:rsidP="00883B9E">
            <w:pPr>
              <w:spacing w:line="240" w:lineRule="exact"/>
              <w:jc w:val="right"/>
              <w:rPr>
                <w:rFonts w:ascii="宋体" w:eastAsia="宋体" w:hAnsi="宋体" w:cs="宋体"/>
                <w:sz w:val="18"/>
                <w:szCs w:val="18"/>
              </w:rPr>
            </w:pPr>
            <w:r>
              <w:rPr>
                <w:rFonts w:ascii="宋体" w:eastAsia="宋体" w:hAnsi="宋体" w:cs="宋体"/>
                <w:sz w:val="18"/>
                <w:szCs w:val="18"/>
              </w:rPr>
              <w:t>-74,256</w:t>
            </w:r>
          </w:p>
        </w:tc>
        <w:tc>
          <w:tcPr>
            <w:tcW w:w="741" w:type="dxa"/>
            <w:vMerge w:val="restart"/>
            <w:tcBorders>
              <w:top w:val="single" w:sz="2" w:space="0" w:color="auto"/>
              <w:left w:val="single" w:sz="2" w:space="0" w:color="auto"/>
              <w:right w:val="single" w:sz="2" w:space="0" w:color="auto"/>
            </w:tcBorders>
            <w:vAlign w:val="center"/>
          </w:tcPr>
          <w:p w:rsidR="00883B9E" w:rsidRDefault="00883B9E" w:rsidP="00883B9E">
            <w:pPr>
              <w:spacing w:line="240" w:lineRule="exact"/>
              <w:jc w:val="right"/>
              <w:rPr>
                <w:rFonts w:ascii="宋体" w:eastAsia="宋体" w:hAnsi="宋体" w:cs="宋体"/>
                <w:sz w:val="18"/>
                <w:szCs w:val="18"/>
              </w:rPr>
            </w:pPr>
            <w:r>
              <w:rPr>
                <w:rFonts w:ascii="宋体" w:eastAsia="宋体" w:hAnsi="宋体" w:cs="宋体"/>
                <w:sz w:val="18"/>
                <w:szCs w:val="18"/>
              </w:rPr>
              <w:t>76,874</w:t>
            </w:r>
          </w:p>
        </w:tc>
        <w:tc>
          <w:tcPr>
            <w:tcW w:w="741" w:type="dxa"/>
            <w:vMerge w:val="restart"/>
            <w:tcBorders>
              <w:top w:val="single" w:sz="2" w:space="0" w:color="auto"/>
              <w:left w:val="single" w:sz="2" w:space="0" w:color="auto"/>
              <w:right w:val="single" w:sz="2" w:space="0" w:color="auto"/>
            </w:tcBorders>
            <w:vAlign w:val="center"/>
          </w:tcPr>
          <w:p w:rsidR="00883B9E" w:rsidRDefault="00883B9E" w:rsidP="00883B9E">
            <w:pPr>
              <w:spacing w:line="240" w:lineRule="exact"/>
              <w:rPr>
                <w:rFonts w:ascii="宋体" w:eastAsia="宋体" w:hAnsi="宋体" w:cs="宋体"/>
                <w:sz w:val="18"/>
                <w:szCs w:val="18"/>
              </w:rPr>
            </w:pPr>
            <w:r>
              <w:rPr>
                <w:rFonts w:ascii="宋体" w:eastAsia="宋体" w:hAnsi="宋体" w:cs="宋体"/>
                <w:sz w:val="18"/>
                <w:szCs w:val="18"/>
              </w:rPr>
              <w:t>股权激励限制性股票被回购注销</w:t>
            </w:r>
          </w:p>
        </w:tc>
      </w:tr>
      <w:tr w:rsidR="00883B9E" w:rsidTr="00C85DA6">
        <w:trPr>
          <w:trHeight w:val="240"/>
        </w:trPr>
        <w:tc>
          <w:tcPr>
            <w:tcW w:w="742" w:type="dxa"/>
            <w:vMerge/>
            <w:tcBorders>
              <w:left w:val="single" w:sz="2" w:space="0" w:color="auto"/>
              <w:bottom w:val="single" w:sz="2" w:space="0" w:color="auto"/>
              <w:right w:val="single" w:sz="2" w:space="0" w:color="auto"/>
            </w:tcBorders>
            <w:vAlign w:val="center"/>
          </w:tcPr>
          <w:p w:rsidR="00883B9E" w:rsidRDefault="00883B9E">
            <w:pPr>
              <w:spacing w:line="240" w:lineRule="exact"/>
              <w:rPr>
                <w:rFonts w:ascii="宋体" w:eastAsia="宋体" w:hAnsi="宋体" w:cs="宋体"/>
                <w:sz w:val="18"/>
                <w:szCs w:val="18"/>
              </w:rPr>
            </w:pPr>
          </w:p>
        </w:tc>
        <w:tc>
          <w:tcPr>
            <w:tcW w:w="742" w:type="dxa"/>
            <w:vMerge/>
            <w:tcBorders>
              <w:left w:val="single" w:sz="2" w:space="0" w:color="auto"/>
              <w:bottom w:val="single" w:sz="2" w:space="0" w:color="auto"/>
              <w:right w:val="single" w:sz="2" w:space="0" w:color="auto"/>
            </w:tcBorders>
            <w:vAlign w:val="center"/>
          </w:tcPr>
          <w:p w:rsidR="00883B9E" w:rsidRDefault="00883B9E">
            <w:pPr>
              <w:spacing w:line="240" w:lineRule="exact"/>
              <w:rPr>
                <w:rFonts w:ascii="宋体" w:eastAsia="宋体" w:hAnsi="宋体" w:cs="宋体"/>
                <w:sz w:val="18"/>
                <w:szCs w:val="18"/>
              </w:rPr>
            </w:pPr>
          </w:p>
        </w:tc>
        <w:tc>
          <w:tcPr>
            <w:tcW w:w="742" w:type="dxa"/>
            <w:vMerge/>
            <w:tcBorders>
              <w:left w:val="single" w:sz="2" w:space="0" w:color="auto"/>
              <w:bottom w:val="single" w:sz="2" w:space="0" w:color="auto"/>
              <w:right w:val="single" w:sz="2" w:space="0" w:color="auto"/>
            </w:tcBorders>
            <w:vAlign w:val="center"/>
          </w:tcPr>
          <w:p w:rsidR="00883B9E" w:rsidRDefault="00883B9E">
            <w:pPr>
              <w:spacing w:line="24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883B9E" w:rsidRDefault="00883B9E">
            <w:pPr>
              <w:spacing w:line="240" w:lineRule="exact"/>
              <w:rPr>
                <w:rFonts w:ascii="宋体" w:eastAsia="宋体" w:hAnsi="宋体" w:cs="宋体"/>
                <w:sz w:val="18"/>
                <w:szCs w:val="18"/>
              </w:rPr>
            </w:pPr>
            <w:r>
              <w:rPr>
                <w:rFonts w:ascii="宋体" w:eastAsia="宋体" w:hAnsi="宋体" w:cs="宋体"/>
                <w:sz w:val="18"/>
                <w:szCs w:val="18"/>
              </w:rPr>
              <w:t>副总经理</w:t>
            </w:r>
          </w:p>
        </w:tc>
        <w:tc>
          <w:tcPr>
            <w:tcW w:w="742" w:type="dxa"/>
            <w:tcBorders>
              <w:top w:val="single" w:sz="2" w:space="0" w:color="auto"/>
              <w:left w:val="single" w:sz="2" w:space="0" w:color="auto"/>
              <w:bottom w:val="single" w:sz="2" w:space="0" w:color="auto"/>
              <w:right w:val="single" w:sz="2" w:space="0" w:color="auto"/>
            </w:tcBorders>
            <w:vAlign w:val="center"/>
          </w:tcPr>
          <w:p w:rsidR="00883B9E" w:rsidRDefault="00883B9E">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883B9E" w:rsidRDefault="00883B9E">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741" w:type="dxa"/>
            <w:tcBorders>
              <w:top w:val="single" w:sz="2" w:space="0" w:color="auto"/>
              <w:left w:val="single" w:sz="2" w:space="0" w:color="auto"/>
              <w:bottom w:val="single" w:sz="2" w:space="0" w:color="auto"/>
              <w:right w:val="single" w:sz="2" w:space="0" w:color="auto"/>
            </w:tcBorders>
            <w:vAlign w:val="center"/>
          </w:tcPr>
          <w:p w:rsidR="00883B9E" w:rsidRDefault="00883B9E">
            <w:pPr>
              <w:spacing w:line="240" w:lineRule="exact"/>
              <w:rPr>
                <w:rFonts w:ascii="宋体" w:eastAsia="宋体" w:hAnsi="宋体" w:cs="宋体"/>
                <w:sz w:val="18"/>
                <w:szCs w:val="18"/>
              </w:rPr>
            </w:pPr>
            <w:r>
              <w:rPr>
                <w:rFonts w:ascii="宋体" w:eastAsia="宋体" w:hAnsi="宋体" w:cs="宋体"/>
                <w:sz w:val="18"/>
                <w:szCs w:val="18"/>
              </w:rPr>
              <w:t>2027年01月15日</w:t>
            </w:r>
          </w:p>
        </w:tc>
        <w:tc>
          <w:tcPr>
            <w:tcW w:w="741" w:type="dxa"/>
            <w:vMerge/>
            <w:tcBorders>
              <w:left w:val="single" w:sz="2" w:space="0" w:color="auto"/>
              <w:bottom w:val="single" w:sz="2" w:space="0" w:color="auto"/>
              <w:right w:val="single" w:sz="2" w:space="0" w:color="auto"/>
            </w:tcBorders>
            <w:vAlign w:val="center"/>
          </w:tcPr>
          <w:p w:rsidR="00883B9E" w:rsidRDefault="00883B9E">
            <w:pPr>
              <w:spacing w:line="240" w:lineRule="exact"/>
              <w:jc w:val="right"/>
              <w:rPr>
                <w:rFonts w:ascii="宋体" w:eastAsia="宋体" w:hAnsi="宋体" w:cs="宋体"/>
                <w:sz w:val="18"/>
                <w:szCs w:val="18"/>
              </w:rPr>
            </w:pPr>
          </w:p>
        </w:tc>
        <w:tc>
          <w:tcPr>
            <w:tcW w:w="741" w:type="dxa"/>
            <w:vMerge/>
            <w:tcBorders>
              <w:left w:val="single" w:sz="2" w:space="0" w:color="auto"/>
              <w:bottom w:val="single" w:sz="2" w:space="0" w:color="auto"/>
              <w:right w:val="single" w:sz="2" w:space="0" w:color="auto"/>
            </w:tcBorders>
            <w:vAlign w:val="center"/>
          </w:tcPr>
          <w:p w:rsidR="00883B9E" w:rsidRDefault="00883B9E">
            <w:pPr>
              <w:spacing w:line="240" w:lineRule="exact"/>
              <w:jc w:val="right"/>
              <w:rPr>
                <w:rFonts w:ascii="宋体" w:eastAsia="宋体" w:hAnsi="宋体" w:cs="宋体"/>
                <w:sz w:val="18"/>
                <w:szCs w:val="18"/>
              </w:rPr>
            </w:pPr>
          </w:p>
        </w:tc>
        <w:tc>
          <w:tcPr>
            <w:tcW w:w="741" w:type="dxa"/>
            <w:vMerge/>
            <w:tcBorders>
              <w:left w:val="single" w:sz="2" w:space="0" w:color="auto"/>
              <w:bottom w:val="single" w:sz="2" w:space="0" w:color="auto"/>
              <w:right w:val="single" w:sz="2" w:space="0" w:color="auto"/>
            </w:tcBorders>
            <w:vAlign w:val="center"/>
          </w:tcPr>
          <w:p w:rsidR="00883B9E" w:rsidRDefault="00883B9E">
            <w:pPr>
              <w:spacing w:line="240" w:lineRule="exact"/>
              <w:jc w:val="right"/>
              <w:rPr>
                <w:rFonts w:ascii="宋体" w:eastAsia="宋体" w:hAnsi="宋体" w:cs="宋体"/>
                <w:sz w:val="18"/>
                <w:szCs w:val="18"/>
              </w:rPr>
            </w:pPr>
          </w:p>
        </w:tc>
        <w:tc>
          <w:tcPr>
            <w:tcW w:w="741" w:type="dxa"/>
            <w:vMerge/>
            <w:tcBorders>
              <w:left w:val="single" w:sz="2" w:space="0" w:color="auto"/>
              <w:bottom w:val="single" w:sz="2" w:space="0" w:color="auto"/>
              <w:right w:val="single" w:sz="2" w:space="0" w:color="auto"/>
            </w:tcBorders>
            <w:vAlign w:val="center"/>
          </w:tcPr>
          <w:p w:rsidR="00883B9E" w:rsidRDefault="00883B9E">
            <w:pPr>
              <w:spacing w:line="240" w:lineRule="exact"/>
              <w:jc w:val="right"/>
              <w:rPr>
                <w:rFonts w:ascii="宋体" w:eastAsia="宋体" w:hAnsi="宋体" w:cs="宋体"/>
                <w:sz w:val="18"/>
                <w:szCs w:val="18"/>
              </w:rPr>
            </w:pPr>
          </w:p>
        </w:tc>
        <w:tc>
          <w:tcPr>
            <w:tcW w:w="741" w:type="dxa"/>
            <w:vMerge/>
            <w:tcBorders>
              <w:left w:val="single" w:sz="2" w:space="0" w:color="auto"/>
              <w:bottom w:val="single" w:sz="2" w:space="0" w:color="auto"/>
              <w:right w:val="single" w:sz="2" w:space="0" w:color="auto"/>
            </w:tcBorders>
            <w:vAlign w:val="center"/>
          </w:tcPr>
          <w:p w:rsidR="00883B9E" w:rsidRDefault="00883B9E">
            <w:pPr>
              <w:spacing w:line="240" w:lineRule="exact"/>
              <w:jc w:val="right"/>
              <w:rPr>
                <w:rFonts w:ascii="宋体" w:eastAsia="宋体" w:hAnsi="宋体" w:cs="宋体"/>
                <w:sz w:val="18"/>
                <w:szCs w:val="18"/>
              </w:rPr>
            </w:pPr>
          </w:p>
        </w:tc>
        <w:tc>
          <w:tcPr>
            <w:tcW w:w="741" w:type="dxa"/>
            <w:vMerge/>
            <w:tcBorders>
              <w:left w:val="single" w:sz="2" w:space="0" w:color="auto"/>
              <w:bottom w:val="single" w:sz="2" w:space="0" w:color="auto"/>
              <w:right w:val="single" w:sz="2" w:space="0" w:color="auto"/>
            </w:tcBorders>
            <w:vAlign w:val="center"/>
          </w:tcPr>
          <w:p w:rsidR="00883B9E" w:rsidRDefault="00883B9E">
            <w:pPr>
              <w:spacing w:line="240" w:lineRule="exact"/>
              <w:rPr>
                <w:rFonts w:ascii="宋体" w:eastAsia="宋体" w:hAnsi="宋体" w:cs="宋体"/>
                <w:sz w:val="18"/>
                <w:szCs w:val="18"/>
              </w:rPr>
            </w:pPr>
          </w:p>
        </w:tc>
      </w:tr>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彭占凯</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财务总监</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2023年10月26日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2027年01月15日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冯骏</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董事、副总经理</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离任</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2019年04月16日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10,348,119</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-8,373,559</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-84,864</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1,889,696</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二级市场集中竞价</w:t>
            </w:r>
            <w:proofErr w:type="gramStart"/>
            <w:r>
              <w:rPr>
                <w:rFonts w:ascii="宋体" w:eastAsia="宋体" w:hAnsi="宋体" w:cs="宋体"/>
                <w:sz w:val="18"/>
                <w:szCs w:val="18"/>
              </w:rPr>
              <w:t>减持及股权</w:t>
            </w:r>
            <w:proofErr w:type="gramEnd"/>
            <w:r>
              <w:rPr>
                <w:rFonts w:ascii="宋体" w:eastAsia="宋体" w:hAnsi="宋体" w:cs="宋体"/>
                <w:sz w:val="18"/>
                <w:szCs w:val="18"/>
              </w:rPr>
              <w:t>激励限制性股票被回购注销</w:t>
            </w:r>
          </w:p>
        </w:tc>
      </w:tr>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李爱文</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离任</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2018年10月26日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Pr="000A1D01" w:rsidRDefault="00E63B79">
            <w:pPr>
              <w:spacing w:line="240" w:lineRule="exact"/>
              <w:jc w:val="right"/>
              <w:rPr>
                <w:rFonts w:ascii="宋体" w:eastAsia="宋体" w:hAnsi="宋体" w:cs="宋体"/>
                <w:sz w:val="18"/>
                <w:szCs w:val="18"/>
              </w:rPr>
            </w:pPr>
            <w:r w:rsidRPr="000A1D01">
              <w:rPr>
                <w:rFonts w:ascii="宋体" w:eastAsia="宋体" w:hAnsi="宋体" w:cs="宋体" w:hint="eastAsia"/>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Pr="000A1D01" w:rsidRDefault="00E63B79">
            <w:pPr>
              <w:spacing w:line="240" w:lineRule="exact"/>
              <w:jc w:val="right"/>
              <w:rPr>
                <w:rFonts w:ascii="宋体" w:eastAsia="宋体" w:hAnsi="宋体" w:cs="宋体"/>
                <w:sz w:val="18"/>
                <w:szCs w:val="18"/>
              </w:rPr>
            </w:pPr>
            <w:r w:rsidRPr="000A1D01">
              <w:rPr>
                <w:rFonts w:ascii="宋体" w:eastAsia="宋体" w:hAnsi="宋体" w:cs="宋体" w:hint="eastAsia"/>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Pr="000A1D01" w:rsidRDefault="00A27D66">
            <w:pPr>
              <w:spacing w:line="240" w:lineRule="exact"/>
              <w:rPr>
                <w:rFonts w:ascii="宋体" w:eastAsia="宋体" w:hAnsi="宋体" w:cs="宋体"/>
                <w:sz w:val="18"/>
                <w:szCs w:val="18"/>
              </w:rPr>
            </w:pPr>
          </w:p>
        </w:tc>
      </w:tr>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郝宏伟</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副总经理</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离任</w:t>
            </w:r>
          </w:p>
        </w:tc>
        <w:tc>
          <w:tcPr>
            <w:tcW w:w="7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2022年08月29日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2024年11月08日</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883B9E">
        <w:trPr>
          <w:trHeight w:val="240"/>
        </w:trPr>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10,702,989</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-8,373,559</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-297,376</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2,032,054</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报告期是否存在任期内董事、监事离任和高级管理人员解聘的情况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A2119D" w:rsidRPr="00206303" w:rsidRDefault="00A2119D" w:rsidP="00483DD8">
      <w:pPr>
        <w:spacing w:before="100" w:after="100" w:line="240" w:lineRule="exact"/>
        <w:divId w:val="1715690266"/>
        <w:rPr>
          <w:rFonts w:ascii="宋体" w:eastAsia="宋体" w:hAnsi="宋体" w:cs="宋体"/>
          <w:sz w:val="18"/>
          <w:szCs w:val="18"/>
        </w:rPr>
      </w:pPr>
      <w:r w:rsidRPr="00206303">
        <w:rPr>
          <w:rFonts w:ascii="宋体" w:eastAsia="宋体" w:hAnsi="宋体" w:cs="宋体" w:hint="eastAsia"/>
          <w:sz w:val="18"/>
          <w:szCs w:val="18"/>
        </w:rPr>
        <w:t>1、2024年1月16日，因任期届满，冯骏先生不再在公司担任董事及副总经理职务。</w:t>
      </w:r>
    </w:p>
    <w:p w:rsidR="00A2119D" w:rsidRPr="00206303" w:rsidRDefault="00A2119D" w:rsidP="00483DD8">
      <w:pPr>
        <w:spacing w:before="100" w:after="100" w:line="240" w:lineRule="exact"/>
        <w:divId w:val="1715690266"/>
        <w:rPr>
          <w:rFonts w:ascii="宋体" w:eastAsia="宋体" w:hAnsi="宋体" w:cs="宋体"/>
          <w:sz w:val="18"/>
          <w:szCs w:val="18"/>
        </w:rPr>
      </w:pPr>
      <w:r w:rsidRPr="00206303">
        <w:rPr>
          <w:rFonts w:ascii="宋体" w:eastAsia="宋体" w:hAnsi="宋体" w:cs="宋体" w:hint="eastAsia"/>
          <w:sz w:val="18"/>
          <w:szCs w:val="18"/>
        </w:rPr>
        <w:t>2、2024年1月16日，因任期届满，李爱文先生不再在公司担任独立董事职务。</w:t>
      </w:r>
    </w:p>
    <w:p w:rsidR="00A2119D" w:rsidRPr="00483DD8" w:rsidRDefault="00A2119D" w:rsidP="00483DD8">
      <w:pPr>
        <w:spacing w:before="100" w:after="100" w:line="240" w:lineRule="exact"/>
        <w:divId w:val="1715690266"/>
        <w:rPr>
          <w:rFonts w:ascii="宋体" w:eastAsia="宋体" w:hAnsi="宋体" w:cs="宋体"/>
          <w:sz w:val="18"/>
          <w:szCs w:val="18"/>
        </w:rPr>
      </w:pPr>
      <w:r w:rsidRPr="00206303">
        <w:rPr>
          <w:rFonts w:ascii="宋体" w:eastAsia="宋体" w:hAnsi="宋体" w:cs="宋体" w:hint="eastAsia"/>
          <w:sz w:val="18"/>
          <w:szCs w:val="18"/>
        </w:rPr>
        <w:t>3、2024年11月8</w:t>
      </w:r>
      <w:r w:rsidR="00000B3A">
        <w:rPr>
          <w:rFonts w:ascii="宋体" w:eastAsia="宋体" w:hAnsi="宋体" w:cs="宋体" w:hint="eastAsia"/>
          <w:sz w:val="18"/>
          <w:szCs w:val="18"/>
        </w:rPr>
        <w:t>日，</w:t>
      </w:r>
      <w:r w:rsidRPr="00206303">
        <w:rPr>
          <w:rFonts w:ascii="宋体" w:eastAsia="宋体" w:hAnsi="宋体" w:cs="宋体" w:hint="eastAsia"/>
          <w:sz w:val="18"/>
          <w:szCs w:val="18"/>
        </w:rPr>
        <w:t>郝宏伟先生因个人原因申请辞</w:t>
      </w:r>
      <w:r w:rsidR="00860FBB">
        <w:rPr>
          <w:rFonts w:ascii="宋体" w:eastAsia="宋体" w:hAnsi="宋体" w:cs="宋体" w:hint="eastAsia"/>
          <w:sz w:val="18"/>
          <w:szCs w:val="18"/>
        </w:rPr>
        <w:t>去</w:t>
      </w:r>
      <w:r w:rsidRPr="00206303">
        <w:rPr>
          <w:rFonts w:ascii="宋体" w:eastAsia="宋体" w:hAnsi="宋体" w:cs="宋体" w:hint="eastAsia"/>
          <w:sz w:val="18"/>
          <w:szCs w:val="18"/>
        </w:rPr>
        <w:t>公司副总经理职务。</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公司董事、监事、高级管理人员变动情况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李忠</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股东大会选举</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李忠</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总经理</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任免</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董事会聘任</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李忠</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副总经理</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任免</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届满离任</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杨定轶</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董事会聘任</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杨定轶</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副总经理</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聘任</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股东大会选举</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杨乃定</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股东大会选举</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陈波</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副总经理</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聘任</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董事会聘任</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李爱文</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届满离任</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冯骏</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董事、副总经理</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届满离任</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郝宏伟</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副总经理</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解聘</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2024年11月08日</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因个人原因辞职</w:t>
            </w:r>
          </w:p>
        </w:tc>
      </w:tr>
    </w:tbl>
    <w:p w:rsidR="00A27D66" w:rsidRDefault="00A2119D">
      <w:pPr>
        <w:pStyle w:val="3"/>
        <w:spacing w:line="280" w:lineRule="exact"/>
        <w:jc w:val="left"/>
        <w:rPr>
          <w:rFonts w:ascii="宋体" w:hAnsi="宋体" w:cs="宋体"/>
          <w:b/>
          <w:bCs/>
        </w:rPr>
      </w:pPr>
      <w:bookmarkStart w:id="66" w:name="_Toc988951"/>
      <w:r>
        <w:rPr>
          <w:rFonts w:ascii="宋体" w:hAnsi="宋体" w:cs="宋体"/>
          <w:b/>
          <w:bCs/>
        </w:rPr>
        <w:t>2、任职情况</w:t>
      </w:r>
      <w:bookmarkEnd w:id="66"/>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公司现任董事、监事、高级管理人员专业背景、主要工作经历以及目前在公司的主要职责</w:t>
      </w:r>
    </w:p>
    <w:p w:rsidR="00A2119D" w:rsidRPr="00917E1A" w:rsidRDefault="003136B3" w:rsidP="00003D92">
      <w:pPr>
        <w:pStyle w:val="a3"/>
        <w:spacing w:before="0" w:beforeAutospacing="0" w:after="0" w:afterAutospacing="0" w:line="360" w:lineRule="auto"/>
        <w:ind w:firstLine="561"/>
        <w:divId w:val="650913077"/>
        <w:rPr>
          <w:sz w:val="21"/>
          <w:szCs w:val="21"/>
        </w:rPr>
      </w:pPr>
      <w:r w:rsidRPr="003136B3">
        <w:rPr>
          <w:rFonts w:hint="eastAsia"/>
          <w:color w:val="000000"/>
          <w:sz w:val="21"/>
          <w:szCs w:val="21"/>
        </w:rPr>
        <w:t>胡煜</w:t>
      </w:r>
      <w:r w:rsidRPr="003136B3">
        <w:rPr>
          <w:rFonts w:ascii="微软雅黑" w:eastAsia="微软雅黑" w:hAnsi="微软雅黑" w:cs="微软雅黑" w:hint="eastAsia"/>
          <w:color w:val="000000"/>
          <w:sz w:val="21"/>
          <w:szCs w:val="21"/>
        </w:rPr>
        <w:t>𨱑</w:t>
      </w:r>
      <w:r w:rsidR="00A2119D" w:rsidRPr="00623C55">
        <w:rPr>
          <w:rFonts w:hint="eastAsia"/>
          <w:color w:val="000000"/>
          <w:sz w:val="21"/>
          <w:szCs w:val="21"/>
        </w:rPr>
        <w:t>，男</w:t>
      </w:r>
      <w:r w:rsidR="00A2119D" w:rsidRPr="00623C55">
        <w:rPr>
          <w:rFonts w:hint="eastAsia"/>
          <w:color w:val="000000" w:themeColor="text1"/>
          <w:sz w:val="21"/>
          <w:szCs w:val="21"/>
        </w:rPr>
        <w:t>，大学本科学历。曾</w:t>
      </w:r>
      <w:r w:rsidR="00A2119D" w:rsidRPr="00623C55">
        <w:rPr>
          <w:rFonts w:hint="eastAsia"/>
          <w:color w:val="000000"/>
          <w:sz w:val="21"/>
          <w:szCs w:val="21"/>
        </w:rPr>
        <w:t>任杭</w:t>
      </w:r>
      <w:r w:rsidR="00A2119D" w:rsidRPr="00917E1A">
        <w:rPr>
          <w:rFonts w:hint="eastAsia"/>
          <w:color w:val="000000"/>
          <w:sz w:val="21"/>
          <w:szCs w:val="21"/>
        </w:rPr>
        <w:t>州德力西集团有限公司总裁，德力西集团有限公司战略管理中心总监，德力西集团有限公司投资管理中心副总监，德力西集团有限公司执行副总裁，德力西集团有限</w:t>
      </w:r>
      <w:r w:rsidR="00A2119D" w:rsidRPr="00917E1A">
        <w:rPr>
          <w:rFonts w:hint="eastAsia"/>
          <w:color w:val="000000"/>
          <w:sz w:val="21"/>
          <w:szCs w:val="21"/>
        </w:rPr>
        <w:lastRenderedPageBreak/>
        <w:t>公司运营管理中心总经理，德力西集团有限公司首席运营官等职。现任广东甘化科工股份有限公司董事长，德力西集团有限公司总裁，德力西新能源科技股份有限公司董事。</w:t>
      </w:r>
    </w:p>
    <w:p w:rsidR="00A2119D" w:rsidRPr="00917E1A" w:rsidRDefault="00A2119D" w:rsidP="00003D92">
      <w:pPr>
        <w:pStyle w:val="a3"/>
        <w:spacing w:before="0" w:beforeAutospacing="0" w:after="0" w:afterAutospacing="0" w:line="360" w:lineRule="auto"/>
        <w:ind w:firstLine="561"/>
        <w:divId w:val="650913077"/>
        <w:rPr>
          <w:sz w:val="21"/>
          <w:szCs w:val="21"/>
        </w:rPr>
      </w:pPr>
      <w:r w:rsidRPr="00917E1A">
        <w:rPr>
          <w:rFonts w:hint="eastAsia"/>
          <w:sz w:val="21"/>
          <w:szCs w:val="21"/>
        </w:rPr>
        <w:t>李忠，男，硕士研究生学历，工程师、注册会计师。曾任佛山市集成金融集团有限公司资产管理总监，广东新容金投资管理有限公司执行董事，上海普丽盛包装股份有限公司独立董事，江门甘蔗化工厂（集团）股份有限公司投资总监，广东甘化科工股份有限公司副总经理。现任广东甘化科工股份有限公司副董事长、总经理。</w:t>
      </w:r>
      <w:r w:rsidRPr="00917E1A">
        <w:rPr>
          <w:rFonts w:cs="Calibri"/>
          <w:sz w:val="21"/>
          <w:szCs w:val="21"/>
        </w:rPr>
        <w:t> </w:t>
      </w:r>
    </w:p>
    <w:p w:rsidR="00A2119D" w:rsidRPr="00917E1A" w:rsidRDefault="00A2119D" w:rsidP="00003D92">
      <w:pPr>
        <w:pStyle w:val="a3"/>
        <w:spacing w:before="0" w:beforeAutospacing="0" w:after="0" w:afterAutospacing="0" w:line="360" w:lineRule="auto"/>
        <w:ind w:firstLine="560"/>
        <w:jc w:val="both"/>
        <w:divId w:val="650913077"/>
        <w:rPr>
          <w:rFonts w:cs="Times New Roman"/>
          <w:sz w:val="21"/>
          <w:szCs w:val="21"/>
        </w:rPr>
      </w:pPr>
      <w:r w:rsidRPr="00917E1A">
        <w:rPr>
          <w:rFonts w:cs="Times New Roman" w:hint="eastAsia"/>
          <w:sz w:val="21"/>
          <w:szCs w:val="21"/>
        </w:rPr>
        <w:t>杨定轶，男，大学专科学历。曾任四川托普集团广西分公司经理，诚业科技有限公司市场部经理，四川升华电源科技有限公司副总经理。现任广东甘化科工股份有限公司董事，四川升华电源科技有限公司总经理。</w:t>
      </w:r>
    </w:p>
    <w:p w:rsidR="00A2119D" w:rsidRPr="00917E1A" w:rsidRDefault="00A2119D" w:rsidP="00003D92">
      <w:pPr>
        <w:pStyle w:val="a3"/>
        <w:spacing w:before="0" w:beforeAutospacing="0" w:after="0" w:afterAutospacing="0" w:line="360" w:lineRule="auto"/>
        <w:ind w:firstLine="561"/>
        <w:divId w:val="650913077"/>
        <w:rPr>
          <w:sz w:val="21"/>
          <w:szCs w:val="21"/>
        </w:rPr>
      </w:pPr>
      <w:r w:rsidRPr="00917E1A">
        <w:rPr>
          <w:rFonts w:hint="eastAsia"/>
          <w:sz w:val="21"/>
          <w:szCs w:val="21"/>
        </w:rPr>
        <w:t>吕凌，男，硕士研究生学历。曾任上海阳光七星文化发展有限公司法</w:t>
      </w:r>
      <w:proofErr w:type="gramStart"/>
      <w:r w:rsidRPr="00917E1A">
        <w:rPr>
          <w:rFonts w:hint="eastAsia"/>
          <w:sz w:val="21"/>
          <w:szCs w:val="21"/>
        </w:rPr>
        <w:t>务</w:t>
      </w:r>
      <w:proofErr w:type="gramEnd"/>
      <w:r w:rsidRPr="00917E1A">
        <w:rPr>
          <w:rFonts w:hint="eastAsia"/>
          <w:sz w:val="21"/>
          <w:szCs w:val="21"/>
        </w:rPr>
        <w:t>总监，浙江日发控股集团有限公司总法律顾问。现任广东甘化科工股份有限公司董事，德力西集团有限公司法</w:t>
      </w:r>
      <w:proofErr w:type="gramStart"/>
      <w:r w:rsidRPr="00917E1A">
        <w:rPr>
          <w:rFonts w:hint="eastAsia"/>
          <w:sz w:val="21"/>
          <w:szCs w:val="21"/>
        </w:rPr>
        <w:t>务</w:t>
      </w:r>
      <w:proofErr w:type="gramEnd"/>
      <w:r w:rsidRPr="00917E1A">
        <w:rPr>
          <w:rFonts w:hint="eastAsia"/>
          <w:sz w:val="21"/>
          <w:szCs w:val="21"/>
        </w:rPr>
        <w:t>中心总经理。</w:t>
      </w:r>
    </w:p>
    <w:p w:rsidR="00A2119D" w:rsidRPr="00917E1A" w:rsidRDefault="00A2119D" w:rsidP="00003D92">
      <w:pPr>
        <w:pStyle w:val="a3"/>
        <w:spacing w:before="0" w:beforeAutospacing="0" w:after="0" w:afterAutospacing="0" w:line="360" w:lineRule="auto"/>
        <w:ind w:firstLine="561"/>
        <w:divId w:val="650913077"/>
        <w:rPr>
          <w:sz w:val="21"/>
          <w:szCs w:val="21"/>
        </w:rPr>
      </w:pPr>
      <w:r w:rsidRPr="00917E1A">
        <w:rPr>
          <w:rFonts w:hint="eastAsia"/>
          <w:sz w:val="21"/>
          <w:szCs w:val="21"/>
        </w:rPr>
        <w:t>廖义刚，男，博士研究生学历，会计学教授。现任江西财经大学会计学院教授，广东甘化科工股份有限公司、江西赣粤高速公路股份有限公司、江西新余国科科技股份有限公司独立董事。</w:t>
      </w:r>
      <w:r w:rsidRPr="00917E1A">
        <w:rPr>
          <w:rFonts w:cs="Calibri"/>
          <w:sz w:val="21"/>
          <w:szCs w:val="21"/>
        </w:rPr>
        <w:t> </w:t>
      </w:r>
    </w:p>
    <w:p w:rsidR="00A2119D" w:rsidRPr="00917E1A" w:rsidRDefault="00A2119D" w:rsidP="00003D92">
      <w:pPr>
        <w:pStyle w:val="a3"/>
        <w:spacing w:before="0" w:beforeAutospacing="0" w:after="0" w:afterAutospacing="0" w:line="360" w:lineRule="auto"/>
        <w:ind w:firstLine="561"/>
        <w:jc w:val="both"/>
        <w:divId w:val="650913077"/>
        <w:rPr>
          <w:sz w:val="21"/>
          <w:szCs w:val="21"/>
        </w:rPr>
      </w:pPr>
      <w:r w:rsidRPr="00917E1A">
        <w:rPr>
          <w:rFonts w:hint="eastAsia"/>
          <w:sz w:val="21"/>
          <w:szCs w:val="21"/>
        </w:rPr>
        <w:t>钟刚，男，博士研究生学历。现任华东政法大学副教授，广东甘化科工股份有限公司、凤形股份有限公司、江苏通润装备股份有限公司独立董事。</w:t>
      </w:r>
    </w:p>
    <w:p w:rsidR="00A2119D" w:rsidRPr="00917E1A" w:rsidRDefault="00A2119D" w:rsidP="00003D92">
      <w:pPr>
        <w:pStyle w:val="a3"/>
        <w:spacing w:before="0" w:beforeAutospacing="0" w:after="0" w:afterAutospacing="0" w:line="360" w:lineRule="auto"/>
        <w:ind w:firstLine="560"/>
        <w:jc w:val="both"/>
        <w:divId w:val="650913077"/>
        <w:rPr>
          <w:rFonts w:cs="Times New Roman"/>
          <w:sz w:val="21"/>
          <w:szCs w:val="21"/>
        </w:rPr>
      </w:pPr>
      <w:r w:rsidRPr="00917E1A">
        <w:rPr>
          <w:rFonts w:cs="Times New Roman" w:hint="eastAsia"/>
          <w:sz w:val="21"/>
          <w:szCs w:val="21"/>
        </w:rPr>
        <w:t>杨乃定，博士研究生学历，西北工业大学航空航天科学技术博士后。曾任西北工业大学管理学院院长、中航西安飞机工业集团股份有限公司、炼石航空科技股份有限公司、西部金属材料股份有限公司等公司独立董事。现任西北工业大学管理学院教授、博士生导师, 广东甘化科工股份有限公司独立董事，天地源股份有限公司独立董事。</w:t>
      </w:r>
    </w:p>
    <w:p w:rsidR="00A2119D" w:rsidRPr="00917E1A" w:rsidRDefault="00A2119D" w:rsidP="00003D92">
      <w:pPr>
        <w:pStyle w:val="a3"/>
        <w:spacing w:before="0" w:beforeAutospacing="0" w:after="0" w:afterAutospacing="0" w:line="360" w:lineRule="auto"/>
        <w:ind w:firstLine="561"/>
        <w:jc w:val="both"/>
        <w:divId w:val="650913077"/>
        <w:rPr>
          <w:sz w:val="21"/>
          <w:szCs w:val="21"/>
        </w:rPr>
      </w:pPr>
      <w:r w:rsidRPr="00917E1A">
        <w:rPr>
          <w:rFonts w:hint="eastAsia"/>
          <w:sz w:val="21"/>
          <w:szCs w:val="21"/>
        </w:rPr>
        <w:t>邵林芳，男，大学本科学历，注册会计师、国际注册内部审计师、高级会计师。曾任浙江丰登化工股份有限公司主办会计，横店集团有限公司财务经理，德力西新疆交通运输集团股份有限公司监事会主席。现任德力西集团有限公司审计中心总经理，广东甘化科工股份有限公司监事会主席。</w:t>
      </w:r>
    </w:p>
    <w:p w:rsidR="00A2119D" w:rsidRPr="00917E1A" w:rsidRDefault="00A2119D" w:rsidP="00003D92">
      <w:pPr>
        <w:pStyle w:val="a3"/>
        <w:spacing w:before="0" w:beforeAutospacing="0" w:after="0" w:afterAutospacing="0" w:line="360" w:lineRule="auto"/>
        <w:ind w:firstLine="561"/>
        <w:divId w:val="650913077"/>
        <w:rPr>
          <w:sz w:val="21"/>
          <w:szCs w:val="21"/>
        </w:rPr>
      </w:pPr>
      <w:r w:rsidRPr="00917E1A">
        <w:rPr>
          <w:rFonts w:hint="eastAsia"/>
          <w:sz w:val="21"/>
          <w:szCs w:val="21"/>
        </w:rPr>
        <w:t>包秀成，男，中专学历，经济师。曾任德力西集团母线桥架有限公司董事长，广东德力光电有限公司副总经理兼采购中心总监，广东甘化科工股份有限公司采购总监，广东江门生物技术开发中心有限公司总经理。现任广东德力光电有限公司执行董事兼总经理，广东甘化科工股份有限公司监事。</w:t>
      </w:r>
    </w:p>
    <w:p w:rsidR="00A2119D" w:rsidRPr="00917E1A" w:rsidRDefault="00A2119D" w:rsidP="00003D92">
      <w:pPr>
        <w:pStyle w:val="a3"/>
        <w:spacing w:before="0" w:beforeAutospacing="0" w:after="0" w:afterAutospacing="0" w:line="360" w:lineRule="auto"/>
        <w:ind w:firstLine="561"/>
        <w:divId w:val="650913077"/>
        <w:rPr>
          <w:sz w:val="21"/>
          <w:szCs w:val="21"/>
        </w:rPr>
      </w:pPr>
      <w:r w:rsidRPr="00917E1A">
        <w:rPr>
          <w:rFonts w:hint="eastAsia"/>
          <w:sz w:val="21"/>
          <w:szCs w:val="21"/>
        </w:rPr>
        <w:t>沈峰，男，大学本科学历，经济师。曾任江门甘蔗化工厂（集团）股份有限公司企管部、总裁办职员，现任广东甘化科工股份有限公司职工监事、证券事务部主管。</w:t>
      </w:r>
    </w:p>
    <w:p w:rsidR="00A2119D" w:rsidRPr="00917E1A" w:rsidRDefault="00A2119D" w:rsidP="00003D92">
      <w:pPr>
        <w:pStyle w:val="a3"/>
        <w:spacing w:before="0" w:beforeAutospacing="0" w:after="0" w:afterAutospacing="0" w:line="360" w:lineRule="auto"/>
        <w:ind w:firstLine="561"/>
        <w:divId w:val="650913077"/>
        <w:rPr>
          <w:sz w:val="21"/>
          <w:szCs w:val="21"/>
        </w:rPr>
      </w:pPr>
      <w:r w:rsidRPr="00917E1A">
        <w:rPr>
          <w:rFonts w:hint="eastAsia"/>
          <w:sz w:val="21"/>
          <w:szCs w:val="21"/>
        </w:rPr>
        <w:t>陈波，男，硕士研究生学历，注册会计师。曾任立信会计师事务所（特殊普通合伙）有限公司浙江分所项目经理，毕马威华</w:t>
      </w:r>
      <w:proofErr w:type="gramStart"/>
      <w:r w:rsidRPr="00917E1A">
        <w:rPr>
          <w:rFonts w:hint="eastAsia"/>
          <w:sz w:val="21"/>
          <w:szCs w:val="21"/>
        </w:rPr>
        <w:t>振</w:t>
      </w:r>
      <w:proofErr w:type="gramEnd"/>
      <w:r w:rsidRPr="00917E1A">
        <w:rPr>
          <w:rFonts w:hint="eastAsia"/>
          <w:sz w:val="21"/>
          <w:szCs w:val="21"/>
        </w:rPr>
        <w:t>会计师事务所上海分所助理经理，财通证券股份有限公司投资银行部副总</w:t>
      </w:r>
      <w:r w:rsidRPr="00917E1A">
        <w:rPr>
          <w:rFonts w:hint="eastAsia"/>
          <w:sz w:val="21"/>
          <w:szCs w:val="21"/>
        </w:rPr>
        <w:lastRenderedPageBreak/>
        <w:t xml:space="preserve">监，四川升华电源科技有限公司财务总监，广东甘化科工股份有限公司财务总监。现任广东甘化科工股份有限公司副总经理、董事会秘书。 </w:t>
      </w:r>
    </w:p>
    <w:p w:rsidR="00A2119D" w:rsidRPr="00917E1A" w:rsidRDefault="00A2119D" w:rsidP="00003D92">
      <w:pPr>
        <w:pStyle w:val="a3"/>
        <w:spacing w:before="0" w:beforeAutospacing="0" w:after="0" w:afterAutospacing="0" w:line="360" w:lineRule="auto"/>
        <w:ind w:firstLine="561"/>
        <w:jc w:val="both"/>
        <w:divId w:val="650913077"/>
        <w:rPr>
          <w:sz w:val="21"/>
          <w:szCs w:val="21"/>
        </w:rPr>
      </w:pPr>
      <w:r w:rsidRPr="00917E1A">
        <w:rPr>
          <w:rFonts w:hint="eastAsia"/>
          <w:sz w:val="21"/>
          <w:szCs w:val="21"/>
        </w:rPr>
        <w:t>彭占凯，男，大学本科学历，注册会计师。曾任伽蓝（集团）股份有限公司财务经理，立信会计师事务所（特殊普通合伙）高级经理，德力西集团有限公司投资经理、运营副总监、</w:t>
      </w:r>
      <w:proofErr w:type="gramStart"/>
      <w:r w:rsidRPr="00917E1A">
        <w:rPr>
          <w:rFonts w:hint="eastAsia"/>
          <w:sz w:val="21"/>
          <w:szCs w:val="21"/>
        </w:rPr>
        <w:t>财经副</w:t>
      </w:r>
      <w:proofErr w:type="gramEnd"/>
      <w:r w:rsidRPr="00917E1A">
        <w:rPr>
          <w:rFonts w:hint="eastAsia"/>
          <w:sz w:val="21"/>
          <w:szCs w:val="21"/>
        </w:rPr>
        <w:t>总监，广东甘化科工股份有限公司财务副总监。现任四川升华电源科技有限公司财务总监，广东甘化科工股份有限公司财务总监。</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在股东单位任职情况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938"/>
        <w:gridCol w:w="1559"/>
        <w:gridCol w:w="1322"/>
        <w:gridCol w:w="1607"/>
        <w:gridCol w:w="1607"/>
      </w:tblGrid>
      <w:tr w:rsidR="00A27D66" w:rsidTr="00917E1A">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任职人员姓名</w:t>
            </w:r>
          </w:p>
        </w:tc>
        <w:tc>
          <w:tcPr>
            <w:tcW w:w="193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股东单位名称</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在股东单位担任的职务</w:t>
            </w:r>
          </w:p>
        </w:tc>
        <w:tc>
          <w:tcPr>
            <w:tcW w:w="132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任期起始日期</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任期终止日期</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在股东单位是否领取报酬津贴</w:t>
            </w:r>
          </w:p>
        </w:tc>
      </w:tr>
      <w:tr w:rsidR="00A27D66" w:rsidTr="00917E1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3136B3">
            <w:pPr>
              <w:spacing w:line="240" w:lineRule="exact"/>
              <w:rPr>
                <w:rFonts w:ascii="宋体" w:eastAsia="宋体" w:hAnsi="宋体" w:cs="宋体"/>
                <w:sz w:val="18"/>
                <w:szCs w:val="18"/>
              </w:rPr>
            </w:pPr>
            <w:r w:rsidRPr="003136B3">
              <w:rPr>
                <w:rFonts w:ascii="宋体" w:eastAsia="宋体" w:hAnsi="宋体" w:cs="宋体" w:hint="eastAsia"/>
                <w:sz w:val="18"/>
                <w:szCs w:val="18"/>
              </w:rPr>
              <w:t>胡煜</w:t>
            </w:r>
            <w:r w:rsidRPr="003136B3">
              <w:rPr>
                <w:rFonts w:ascii="微软雅黑" w:eastAsia="微软雅黑" w:hAnsi="微软雅黑" w:cs="微软雅黑" w:hint="eastAsia"/>
                <w:sz w:val="18"/>
                <w:szCs w:val="18"/>
              </w:rPr>
              <w:t>𨱑</w:t>
            </w:r>
          </w:p>
        </w:tc>
        <w:tc>
          <w:tcPr>
            <w:tcW w:w="193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德力西集团有限公司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总裁</w:t>
            </w:r>
          </w:p>
        </w:tc>
        <w:tc>
          <w:tcPr>
            <w:tcW w:w="132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r w:rsidR="00A27D66" w:rsidTr="00917E1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吕凌</w:t>
            </w:r>
          </w:p>
        </w:tc>
        <w:tc>
          <w:tcPr>
            <w:tcW w:w="193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德力西集团有限公司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法</w:t>
            </w:r>
            <w:proofErr w:type="gramStart"/>
            <w:r>
              <w:rPr>
                <w:rFonts w:ascii="宋体" w:eastAsia="宋体" w:hAnsi="宋体" w:cs="宋体"/>
                <w:sz w:val="18"/>
                <w:szCs w:val="18"/>
              </w:rPr>
              <w:t>务</w:t>
            </w:r>
            <w:proofErr w:type="gramEnd"/>
            <w:r>
              <w:rPr>
                <w:rFonts w:ascii="宋体" w:eastAsia="宋体" w:hAnsi="宋体" w:cs="宋体"/>
                <w:sz w:val="18"/>
                <w:szCs w:val="18"/>
              </w:rPr>
              <w:t>中心总经理</w:t>
            </w:r>
          </w:p>
        </w:tc>
        <w:tc>
          <w:tcPr>
            <w:tcW w:w="132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r w:rsidR="00A27D66" w:rsidTr="00917E1A">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邵林芳</w:t>
            </w:r>
          </w:p>
        </w:tc>
        <w:tc>
          <w:tcPr>
            <w:tcW w:w="193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德力西集团有限公司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审计中心总经理</w:t>
            </w:r>
          </w:p>
        </w:tc>
        <w:tc>
          <w:tcPr>
            <w:tcW w:w="132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在其他单位任职情况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8"/>
        <w:gridCol w:w="2126"/>
        <w:gridCol w:w="1843"/>
        <w:gridCol w:w="1276"/>
        <w:gridCol w:w="1369"/>
        <w:gridCol w:w="1607"/>
      </w:tblGrid>
      <w:tr w:rsidR="00A27D66" w:rsidRPr="003136B3" w:rsidTr="00A1473E">
        <w:trPr>
          <w:trHeight w:val="240"/>
        </w:trPr>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3136B3" w:rsidRDefault="00A2119D">
            <w:pPr>
              <w:spacing w:before="40" w:after="40" w:line="240" w:lineRule="exact"/>
              <w:jc w:val="center"/>
              <w:rPr>
                <w:rFonts w:ascii="宋体" w:eastAsia="宋体" w:hAnsi="宋体" w:cs="宋体"/>
                <w:sz w:val="18"/>
                <w:szCs w:val="18"/>
              </w:rPr>
            </w:pPr>
            <w:r w:rsidRPr="003136B3">
              <w:rPr>
                <w:rFonts w:ascii="宋体" w:eastAsia="宋体" w:hAnsi="宋体" w:cs="宋体"/>
                <w:sz w:val="18"/>
                <w:szCs w:val="18"/>
              </w:rPr>
              <w:t>任职人员姓名</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3136B3" w:rsidRDefault="00A2119D">
            <w:pPr>
              <w:spacing w:before="40" w:after="40" w:line="240" w:lineRule="exact"/>
              <w:jc w:val="center"/>
              <w:rPr>
                <w:rFonts w:ascii="宋体" w:eastAsia="宋体" w:hAnsi="宋体" w:cs="宋体"/>
                <w:sz w:val="18"/>
                <w:szCs w:val="18"/>
              </w:rPr>
            </w:pPr>
            <w:r w:rsidRPr="003136B3">
              <w:rPr>
                <w:rFonts w:ascii="宋体" w:eastAsia="宋体" w:hAnsi="宋体" w:cs="宋体"/>
                <w:sz w:val="18"/>
                <w:szCs w:val="18"/>
              </w:rPr>
              <w:t>其他单位名称</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3136B3" w:rsidRDefault="00A2119D">
            <w:pPr>
              <w:spacing w:before="40" w:after="40" w:line="240" w:lineRule="exact"/>
              <w:jc w:val="center"/>
              <w:rPr>
                <w:rFonts w:ascii="宋体" w:eastAsia="宋体" w:hAnsi="宋体" w:cs="宋体"/>
                <w:sz w:val="18"/>
                <w:szCs w:val="18"/>
              </w:rPr>
            </w:pPr>
            <w:r w:rsidRPr="003136B3">
              <w:rPr>
                <w:rFonts w:ascii="宋体" w:eastAsia="宋体" w:hAnsi="宋体" w:cs="宋体"/>
                <w:sz w:val="18"/>
                <w:szCs w:val="18"/>
              </w:rPr>
              <w:t>在其他单位担任的职务</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3136B3" w:rsidRDefault="00A2119D">
            <w:pPr>
              <w:spacing w:before="40" w:after="40" w:line="240" w:lineRule="exact"/>
              <w:jc w:val="center"/>
              <w:rPr>
                <w:rFonts w:ascii="宋体" w:eastAsia="宋体" w:hAnsi="宋体" w:cs="宋体"/>
                <w:sz w:val="18"/>
                <w:szCs w:val="18"/>
              </w:rPr>
            </w:pPr>
            <w:r w:rsidRPr="003136B3">
              <w:rPr>
                <w:rFonts w:ascii="宋体" w:eastAsia="宋体" w:hAnsi="宋体" w:cs="宋体"/>
                <w:sz w:val="18"/>
                <w:szCs w:val="18"/>
              </w:rPr>
              <w:t>任期起始日期</w:t>
            </w:r>
          </w:p>
        </w:tc>
        <w:tc>
          <w:tcPr>
            <w:tcW w:w="136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3136B3" w:rsidRDefault="00A2119D">
            <w:pPr>
              <w:spacing w:before="40" w:after="40" w:line="240" w:lineRule="exact"/>
              <w:jc w:val="center"/>
              <w:rPr>
                <w:rFonts w:ascii="宋体" w:eastAsia="宋体" w:hAnsi="宋体" w:cs="宋体"/>
                <w:sz w:val="18"/>
                <w:szCs w:val="18"/>
              </w:rPr>
            </w:pPr>
            <w:r w:rsidRPr="003136B3">
              <w:rPr>
                <w:rFonts w:ascii="宋体" w:eastAsia="宋体" w:hAnsi="宋体" w:cs="宋体"/>
                <w:sz w:val="18"/>
                <w:szCs w:val="18"/>
              </w:rPr>
              <w:t>任期终止日期</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3136B3" w:rsidRDefault="00A2119D">
            <w:pPr>
              <w:spacing w:before="40" w:after="40" w:line="240" w:lineRule="exact"/>
              <w:jc w:val="center"/>
              <w:rPr>
                <w:rFonts w:ascii="宋体" w:eastAsia="宋体" w:hAnsi="宋体" w:cs="宋体"/>
                <w:sz w:val="18"/>
                <w:szCs w:val="18"/>
              </w:rPr>
            </w:pPr>
            <w:r w:rsidRPr="003136B3">
              <w:rPr>
                <w:rFonts w:ascii="宋体" w:eastAsia="宋体" w:hAnsi="宋体" w:cs="宋体"/>
                <w:sz w:val="18"/>
                <w:szCs w:val="18"/>
              </w:rPr>
              <w:t>在其他单位是否领取报酬津贴</w:t>
            </w:r>
          </w:p>
        </w:tc>
      </w:tr>
      <w:tr w:rsidR="00A27D66" w:rsidRPr="003136B3" w:rsidTr="00A1473E">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Pr="003136B3" w:rsidRDefault="003136B3" w:rsidP="003136B3">
            <w:pPr>
              <w:spacing w:line="300" w:lineRule="exact"/>
              <w:rPr>
                <w:rFonts w:ascii="宋体" w:eastAsia="宋体" w:hAnsi="宋体" w:cs="宋体"/>
                <w:sz w:val="18"/>
                <w:szCs w:val="18"/>
              </w:rPr>
            </w:pPr>
            <w:r w:rsidRPr="003136B3">
              <w:rPr>
                <w:rFonts w:ascii="宋体" w:eastAsia="宋体" w:hAnsi="宋体" w:cs="宋体" w:hint="eastAsia"/>
                <w:sz w:val="18"/>
                <w:szCs w:val="18"/>
              </w:rPr>
              <w:t>胡煜</w:t>
            </w:r>
            <w:r w:rsidRPr="003136B3">
              <w:rPr>
                <w:rFonts w:ascii="微软雅黑" w:eastAsia="微软雅黑" w:hAnsi="微软雅黑" w:cs="微软雅黑" w:hint="eastAsia"/>
                <w:sz w:val="18"/>
                <w:szCs w:val="18"/>
              </w:rPr>
              <w:t>𨱑</w:t>
            </w:r>
          </w:p>
        </w:tc>
        <w:tc>
          <w:tcPr>
            <w:tcW w:w="2126"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德力西新能源科技股份有限公司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董事</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369"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否</w:t>
            </w:r>
          </w:p>
        </w:tc>
      </w:tr>
      <w:tr w:rsidR="00A27D66" w:rsidRPr="003136B3" w:rsidTr="00A1473E">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廖义刚</w:t>
            </w:r>
          </w:p>
        </w:tc>
        <w:tc>
          <w:tcPr>
            <w:tcW w:w="2126"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江西财经大学</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会计学院教授</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369"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是</w:t>
            </w:r>
          </w:p>
        </w:tc>
      </w:tr>
      <w:tr w:rsidR="00A27D66" w:rsidRPr="003136B3" w:rsidTr="00A1473E">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廖义刚</w:t>
            </w:r>
          </w:p>
        </w:tc>
        <w:tc>
          <w:tcPr>
            <w:tcW w:w="2126"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江西赣粤高速公路股份有限公司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独立董事</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369"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是</w:t>
            </w:r>
          </w:p>
        </w:tc>
      </w:tr>
      <w:tr w:rsidR="00A27D66" w:rsidRPr="003136B3" w:rsidTr="00A1473E">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廖义刚</w:t>
            </w:r>
          </w:p>
        </w:tc>
        <w:tc>
          <w:tcPr>
            <w:tcW w:w="2126"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江西新余国科科技股份有限公司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独立董事</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369"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是</w:t>
            </w:r>
          </w:p>
        </w:tc>
      </w:tr>
      <w:tr w:rsidR="00A27D66" w:rsidRPr="003136B3" w:rsidTr="00A1473E">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钟刚</w:t>
            </w:r>
          </w:p>
        </w:tc>
        <w:tc>
          <w:tcPr>
            <w:tcW w:w="2126"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华东政法大学</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副教授</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369"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是</w:t>
            </w:r>
          </w:p>
        </w:tc>
      </w:tr>
      <w:tr w:rsidR="00A27D66" w:rsidRPr="003136B3" w:rsidTr="00A1473E">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钟刚</w:t>
            </w:r>
          </w:p>
        </w:tc>
        <w:tc>
          <w:tcPr>
            <w:tcW w:w="2126"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凤形股份有限公司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独立董事</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369"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是</w:t>
            </w:r>
          </w:p>
        </w:tc>
      </w:tr>
      <w:tr w:rsidR="00A27D66" w:rsidRPr="003136B3" w:rsidTr="00A1473E">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钟刚</w:t>
            </w:r>
          </w:p>
        </w:tc>
        <w:tc>
          <w:tcPr>
            <w:tcW w:w="2126"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江苏通润装备股份有限公司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独立董事</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369"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是</w:t>
            </w:r>
          </w:p>
        </w:tc>
      </w:tr>
      <w:tr w:rsidR="00A27D66" w:rsidRPr="003136B3" w:rsidTr="00A1473E">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杨乃定</w:t>
            </w:r>
          </w:p>
        </w:tc>
        <w:tc>
          <w:tcPr>
            <w:tcW w:w="2126"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西北工业大学管理学院</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教授、博士生导师</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369"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是</w:t>
            </w:r>
          </w:p>
        </w:tc>
      </w:tr>
      <w:tr w:rsidR="00A27D66" w:rsidRPr="003136B3" w:rsidTr="00A1473E">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杨乃定</w:t>
            </w:r>
          </w:p>
        </w:tc>
        <w:tc>
          <w:tcPr>
            <w:tcW w:w="2126"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天地源股份有限公司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独立董事</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369"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是</w:t>
            </w:r>
          </w:p>
        </w:tc>
      </w:tr>
      <w:tr w:rsidR="00A27D66" w:rsidRPr="003136B3" w:rsidTr="00A1473E">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包秀成</w:t>
            </w:r>
          </w:p>
        </w:tc>
        <w:tc>
          <w:tcPr>
            <w:tcW w:w="2126"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广东德力光电有限公司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执行董事兼总经理</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369" w:type="dxa"/>
            <w:tcBorders>
              <w:top w:val="single" w:sz="2" w:space="0" w:color="auto"/>
              <w:left w:val="single" w:sz="2" w:space="0" w:color="auto"/>
              <w:bottom w:val="single" w:sz="2" w:space="0" w:color="auto"/>
              <w:right w:val="single" w:sz="2" w:space="0" w:color="auto"/>
            </w:tcBorders>
            <w:vAlign w:val="center"/>
          </w:tcPr>
          <w:p w:rsidR="00A27D66" w:rsidRPr="003136B3" w:rsidRDefault="00A27D66" w:rsidP="00A1473E">
            <w:pPr>
              <w:spacing w:line="300" w:lineRule="exac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Pr="003136B3" w:rsidRDefault="00A2119D" w:rsidP="00A1473E">
            <w:pPr>
              <w:spacing w:line="300" w:lineRule="exact"/>
              <w:rPr>
                <w:rFonts w:ascii="宋体" w:eastAsia="宋体" w:hAnsi="宋体" w:cs="宋体"/>
                <w:sz w:val="18"/>
                <w:szCs w:val="18"/>
              </w:rPr>
            </w:pPr>
            <w:r w:rsidRPr="003136B3">
              <w:rPr>
                <w:rFonts w:ascii="宋体" w:eastAsia="宋体" w:hAnsi="宋体" w:cs="宋体"/>
                <w:sz w:val="18"/>
                <w:szCs w:val="18"/>
              </w:rPr>
              <w:t>是</w:t>
            </w:r>
          </w:p>
        </w:tc>
      </w:tr>
    </w:tbl>
    <w:p w:rsidR="00A27D66" w:rsidRDefault="00A2119D" w:rsidP="00A1473E">
      <w:pPr>
        <w:spacing w:before="100" w:after="100" w:line="240" w:lineRule="exact"/>
        <w:rPr>
          <w:rFonts w:ascii="宋体" w:eastAsia="宋体" w:hAnsi="宋体" w:cs="宋体"/>
          <w:sz w:val="18"/>
          <w:szCs w:val="18"/>
        </w:rPr>
      </w:pPr>
      <w:r>
        <w:rPr>
          <w:rFonts w:ascii="宋体" w:eastAsia="宋体" w:hAnsi="宋体" w:cs="宋体"/>
          <w:sz w:val="18"/>
          <w:szCs w:val="18"/>
        </w:rPr>
        <w:t>公司现任及报告期内离任董事、监事和高级管理人员近三年证券监管机构处罚的情况</w:t>
      </w:r>
    </w:p>
    <w:p w:rsidR="00A1473E" w:rsidRDefault="00A2119D" w:rsidP="00A1473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119D" w:rsidRPr="003136B3" w:rsidRDefault="00A2119D" w:rsidP="00003D92">
      <w:pPr>
        <w:spacing w:line="360" w:lineRule="auto"/>
        <w:ind w:firstLineChars="200" w:firstLine="420"/>
        <w:jc w:val="both"/>
        <w:rPr>
          <w:rFonts w:ascii="宋体" w:eastAsia="宋体" w:hAnsi="宋体"/>
          <w:szCs w:val="21"/>
        </w:rPr>
      </w:pPr>
      <w:r w:rsidRPr="00A1473E">
        <w:rPr>
          <w:rFonts w:ascii="宋体" w:eastAsia="宋体" w:hAnsi="宋体" w:hint="eastAsia"/>
          <w:szCs w:val="21"/>
        </w:rPr>
        <w:t>公司董事长</w:t>
      </w:r>
      <w:r w:rsidR="003136B3" w:rsidRPr="003136B3">
        <w:rPr>
          <w:rFonts w:ascii="宋体" w:eastAsia="宋体" w:hAnsi="宋体" w:hint="eastAsia"/>
          <w:szCs w:val="21"/>
        </w:rPr>
        <w:t>胡煜</w:t>
      </w:r>
      <w:r w:rsidR="003136B3" w:rsidRPr="003136B3">
        <w:rPr>
          <w:rFonts w:ascii="微软雅黑" w:eastAsia="微软雅黑" w:hAnsi="微软雅黑" w:cs="微软雅黑" w:hint="eastAsia"/>
          <w:szCs w:val="21"/>
        </w:rPr>
        <w:t>𨱑</w:t>
      </w:r>
      <w:r w:rsidRPr="00A1473E">
        <w:rPr>
          <w:rFonts w:ascii="宋体" w:eastAsia="宋体" w:hAnsi="宋体" w:hint="eastAsia"/>
          <w:szCs w:val="21"/>
        </w:rPr>
        <w:t>先生因亲属短线交易，于2023年5月被中国证券监督管理委员会广东监管局给予“警告，并处以10万元罚款”的行政处罚。</w:t>
      </w:r>
      <w:r w:rsidRPr="003136B3">
        <w:rPr>
          <w:rFonts w:ascii="宋体" w:eastAsia="宋体" w:hAnsi="宋体"/>
          <w:szCs w:val="21"/>
        </w:rPr>
        <w:t> </w:t>
      </w:r>
    </w:p>
    <w:p w:rsidR="00A27D66" w:rsidRDefault="00A2119D">
      <w:pPr>
        <w:pStyle w:val="3"/>
        <w:spacing w:line="280" w:lineRule="exact"/>
        <w:jc w:val="left"/>
        <w:rPr>
          <w:rFonts w:ascii="宋体" w:hAnsi="宋体" w:cs="宋体"/>
          <w:b/>
          <w:bCs/>
        </w:rPr>
      </w:pPr>
      <w:bookmarkStart w:id="67" w:name="_Toc988952"/>
      <w:r>
        <w:rPr>
          <w:rFonts w:ascii="宋体" w:hAnsi="宋体" w:cs="宋体"/>
          <w:b/>
          <w:bCs/>
        </w:rPr>
        <w:t>3、董事、监事、高级管理人员报酬情况</w:t>
      </w:r>
      <w:bookmarkEnd w:id="67"/>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董事、监事、高级管理人员报酬的决策程序、确定依据、实际支付情况</w:t>
      </w:r>
    </w:p>
    <w:p w:rsidR="00A2119D" w:rsidRPr="00A1473E" w:rsidRDefault="00A2119D" w:rsidP="00003D92">
      <w:pPr>
        <w:pStyle w:val="a3"/>
        <w:spacing w:before="0" w:beforeAutospacing="0" w:after="0" w:afterAutospacing="0" w:line="360" w:lineRule="auto"/>
        <w:ind w:firstLine="561"/>
        <w:jc w:val="both"/>
        <w:divId w:val="151333638"/>
        <w:rPr>
          <w:sz w:val="21"/>
          <w:szCs w:val="21"/>
        </w:rPr>
      </w:pPr>
      <w:r w:rsidRPr="00A1473E">
        <w:rPr>
          <w:rFonts w:hint="eastAsia"/>
          <w:sz w:val="21"/>
          <w:szCs w:val="21"/>
        </w:rPr>
        <w:lastRenderedPageBreak/>
        <w:t>公司独立董事津贴由股东大会审议确定。</w:t>
      </w:r>
    </w:p>
    <w:p w:rsidR="00A2119D" w:rsidRDefault="00A2119D" w:rsidP="00003D92">
      <w:pPr>
        <w:pStyle w:val="a3"/>
        <w:spacing w:before="0" w:beforeAutospacing="0" w:after="0" w:afterAutospacing="0" w:line="360" w:lineRule="auto"/>
        <w:ind w:firstLine="561"/>
        <w:jc w:val="both"/>
        <w:divId w:val="151333638"/>
      </w:pPr>
      <w:r w:rsidRPr="00A1473E">
        <w:rPr>
          <w:rFonts w:hint="eastAsia"/>
          <w:sz w:val="21"/>
          <w:szCs w:val="21"/>
        </w:rPr>
        <w:t>公司根据高级管理人员所在岗位的主要职责及重要性，参照同行业标准及本地区薪酬状况，结合自身实际情况，由公司董事会薪酬与考核委员会负责制定、审查公司薪酬计划与方案，并依照公司高级管理人员绩效考评体系进行年度绩效考核，经董事会审议批准等程序后，确定其报酬。</w:t>
      </w:r>
    </w:p>
    <w:p w:rsidR="00A27D66" w:rsidRDefault="00A2119D" w:rsidP="00A1473E">
      <w:pPr>
        <w:spacing w:before="100" w:after="100" w:line="560" w:lineRule="exact"/>
        <w:rPr>
          <w:rFonts w:ascii="宋体" w:eastAsia="宋体" w:hAnsi="宋体" w:cs="宋体"/>
          <w:sz w:val="18"/>
          <w:szCs w:val="18"/>
        </w:rPr>
      </w:pPr>
      <w:r>
        <w:rPr>
          <w:rFonts w:ascii="宋体" w:eastAsia="宋体" w:hAnsi="宋体" w:cs="宋体"/>
          <w:sz w:val="18"/>
          <w:szCs w:val="18"/>
        </w:rPr>
        <w:t>公司报告期内董事、监事和高级管理人员报酬情况</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性别</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年龄</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职务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任职状态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从公司获得的税前报酬总额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是否在公司关联方获取报酬</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Pr="003136B3" w:rsidRDefault="003136B3">
            <w:pPr>
              <w:spacing w:line="240" w:lineRule="exact"/>
              <w:rPr>
                <w:rFonts w:ascii="宋体" w:eastAsia="宋体" w:hAnsi="宋体" w:cs="宋体"/>
                <w:sz w:val="18"/>
                <w:szCs w:val="18"/>
              </w:rPr>
            </w:pPr>
            <w:r w:rsidRPr="003136B3">
              <w:rPr>
                <w:rFonts w:ascii="宋体" w:eastAsia="宋体" w:hAnsi="宋体" w:cs="宋体" w:hint="eastAsia"/>
                <w:sz w:val="18"/>
                <w:szCs w:val="18"/>
              </w:rPr>
              <w:t>胡煜</w:t>
            </w:r>
            <w:r w:rsidRPr="003136B3">
              <w:rPr>
                <w:rFonts w:ascii="微软雅黑" w:eastAsia="微软雅黑" w:hAnsi="微软雅黑" w:cs="微软雅黑" w:hint="eastAsia"/>
                <w:sz w:val="18"/>
                <w:szCs w:val="18"/>
              </w:rPr>
              <w:t>𨱑</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董事长</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李忠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副董事长、总经理</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99.98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杨定轶</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董事、副总经理</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96121B">
            <w:pPr>
              <w:spacing w:line="240" w:lineRule="exact"/>
              <w:jc w:val="right"/>
              <w:rPr>
                <w:rFonts w:ascii="宋体" w:eastAsia="宋体" w:hAnsi="宋体" w:cs="宋体"/>
                <w:sz w:val="18"/>
                <w:szCs w:val="18"/>
              </w:rPr>
            </w:pPr>
            <w:r w:rsidRPr="0096121B">
              <w:rPr>
                <w:rFonts w:ascii="宋体" w:eastAsia="宋体" w:hAnsi="宋体" w:cs="宋体" w:hint="eastAsia"/>
                <w:sz w:val="18"/>
                <w:szCs w:val="18"/>
              </w:rPr>
              <w:t>164.08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吕凌</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杨乃定</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廖义刚</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钟刚</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邵林芳</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包秀成</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监事</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沈峰</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职工监事</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12.35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陈波</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副总经理、董事会秘书</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88.85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彭占凯</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财务总监</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56.26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冯骏</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董事、副总经理</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离任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李爱文</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离任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郝宏伟</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副总经理</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离任</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96121B">
            <w:pPr>
              <w:spacing w:line="240" w:lineRule="exact"/>
              <w:jc w:val="right"/>
              <w:rPr>
                <w:rFonts w:ascii="宋体" w:eastAsia="宋体" w:hAnsi="宋体" w:cs="宋体"/>
                <w:sz w:val="18"/>
                <w:szCs w:val="18"/>
              </w:rPr>
            </w:pPr>
            <w:r>
              <w:rPr>
                <w:rFonts w:ascii="宋体" w:eastAsia="宋体" w:hAnsi="宋体" w:cs="宋体"/>
                <w:sz w:val="18"/>
                <w:szCs w:val="18"/>
              </w:rPr>
              <w:t>508.58</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其他情况说明</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68" w:name="_Toc988953"/>
      <w:r>
        <w:rPr>
          <w:rFonts w:ascii="宋体" w:eastAsia="宋体" w:hAnsi="宋体" w:cs="宋体"/>
          <w:b/>
          <w:bCs/>
          <w:sz w:val="24"/>
          <w:szCs w:val="24"/>
        </w:rPr>
        <w:t>六、报告期内董事履行职责的情况</w:t>
      </w:r>
      <w:bookmarkEnd w:id="68"/>
    </w:p>
    <w:p w:rsidR="00A27D66" w:rsidRDefault="00A2119D">
      <w:pPr>
        <w:pStyle w:val="3"/>
        <w:spacing w:line="280" w:lineRule="exact"/>
        <w:jc w:val="left"/>
        <w:rPr>
          <w:rFonts w:ascii="宋体" w:hAnsi="宋体" w:cs="宋体"/>
          <w:b/>
          <w:bCs/>
        </w:rPr>
      </w:pPr>
      <w:bookmarkStart w:id="69" w:name="_Toc988954"/>
      <w:r>
        <w:rPr>
          <w:rFonts w:ascii="宋体" w:hAnsi="宋体" w:cs="宋体"/>
          <w:b/>
          <w:bCs/>
        </w:rPr>
        <w:t>1、本报告期董事会情况</w:t>
      </w:r>
      <w:bookmarkEnd w:id="69"/>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1419"/>
        <w:gridCol w:w="1701"/>
        <w:gridCol w:w="4110"/>
      </w:tblGrid>
      <w:tr w:rsidR="00A27D66" w:rsidTr="00A1473E">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141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41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A27D66" w:rsidTr="00A1473E">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第十一届董事会第一次会议</w:t>
            </w:r>
          </w:p>
        </w:tc>
        <w:tc>
          <w:tcPr>
            <w:tcW w:w="141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2024年01月17日</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会议认真审议并通过了如下议案：1、关于选举公司第十一届董事会董事长的议案；2、关于选举公司第十一届董事会副董事长的议案；3、关于选举公司第十一届董事会各专门委员会委员的议案；4、关于聘任公司总经理的议案；5、关于聘任公司副总经理的议案；6、关于聘任公司董事会秘书的议案；7、关于聘任公司财务总监的议案；8、关于聘任公司证券事务代表的议案</w:t>
            </w:r>
          </w:p>
        </w:tc>
      </w:tr>
      <w:tr w:rsidR="00A27D66" w:rsidTr="00A1473E">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第十一届董事会第二次会议</w:t>
            </w:r>
          </w:p>
        </w:tc>
        <w:tc>
          <w:tcPr>
            <w:tcW w:w="141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2024年03月04日</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2024年03月05日</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会议认真审议并通过了关于以集中竞价交易方式回购公司股份方案的议案</w:t>
            </w:r>
          </w:p>
        </w:tc>
      </w:tr>
      <w:tr w:rsidR="00A27D66" w:rsidTr="00A1473E">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第十一届董事会第三次会议</w:t>
            </w:r>
          </w:p>
        </w:tc>
        <w:tc>
          <w:tcPr>
            <w:tcW w:w="141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2024年04月</w:t>
            </w:r>
            <w:r>
              <w:rPr>
                <w:rFonts w:ascii="宋体" w:eastAsia="宋体" w:hAnsi="宋体" w:cs="宋体"/>
                <w:sz w:val="18"/>
                <w:szCs w:val="18"/>
              </w:rPr>
              <w:lastRenderedPageBreak/>
              <w:t>10日</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2024年04月12日</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会议认真审议并通过了关于关联方</w:t>
            </w:r>
            <w:proofErr w:type="gramStart"/>
            <w:r>
              <w:rPr>
                <w:rFonts w:ascii="宋体" w:eastAsia="宋体" w:hAnsi="宋体" w:cs="宋体"/>
                <w:sz w:val="18"/>
                <w:szCs w:val="18"/>
              </w:rPr>
              <w:t>增资本</w:t>
            </w:r>
            <w:proofErr w:type="gramEnd"/>
            <w:r>
              <w:rPr>
                <w:rFonts w:ascii="宋体" w:eastAsia="宋体" w:hAnsi="宋体" w:cs="宋体"/>
                <w:sz w:val="18"/>
                <w:szCs w:val="18"/>
              </w:rPr>
              <w:t>公司参</w:t>
            </w:r>
            <w:r>
              <w:rPr>
                <w:rFonts w:ascii="宋体" w:eastAsia="宋体" w:hAnsi="宋体" w:cs="宋体"/>
                <w:sz w:val="18"/>
                <w:szCs w:val="18"/>
              </w:rPr>
              <w:lastRenderedPageBreak/>
              <w:t>股公司暨关联交易的议案</w:t>
            </w:r>
          </w:p>
        </w:tc>
      </w:tr>
      <w:tr w:rsidR="00A27D66" w:rsidRPr="0071583E" w:rsidTr="00A1473E">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lastRenderedPageBreak/>
              <w:t>第十一届董事会第四次会议</w:t>
            </w:r>
          </w:p>
        </w:tc>
        <w:tc>
          <w:tcPr>
            <w:tcW w:w="1419"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2024年04月19日</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2024年04月20日</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会议认真审议并通过了如下议案：1、2023年度董事会工作报告；2、2023年度报告及年度报告摘要；3、2023年度财务报告；4、2023年度利润分配预案；5、2023年度内部控制评价报告；6、2023年度企业社会责任报告；7、关于考核发放公司高管人员2023年度薪酬的议案</w:t>
            </w:r>
            <w:proofErr w:type="gramStart"/>
            <w:r w:rsidRPr="00F06395">
              <w:rPr>
                <w:rFonts w:ascii="宋体" w:eastAsia="宋体" w:hAnsi="宋体" w:cs="宋体"/>
                <w:sz w:val="18"/>
                <w:szCs w:val="18"/>
              </w:rPr>
              <w:t>案</w:t>
            </w:r>
            <w:proofErr w:type="gramEnd"/>
            <w:r w:rsidRPr="00F06395">
              <w:rPr>
                <w:rFonts w:ascii="宋体" w:eastAsia="宋体" w:hAnsi="宋体" w:cs="宋体"/>
                <w:sz w:val="18"/>
                <w:szCs w:val="18"/>
              </w:rPr>
              <w:t>；8、2024年度经营计划；9、关于授权使用自有闲置资金进行投资理财的议案；10、关于制定《会计师事务所选聘制度》的议案；11、关于计提商誉减值准备的议案</w:t>
            </w:r>
          </w:p>
        </w:tc>
      </w:tr>
      <w:tr w:rsidR="00A27D66" w:rsidRPr="0071583E" w:rsidTr="00A1473E">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第十一届董事会第五次会议</w:t>
            </w:r>
          </w:p>
        </w:tc>
        <w:tc>
          <w:tcPr>
            <w:tcW w:w="1419"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2024年04月29日</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2024年04月30日</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会议认真审议并通过了如下议案：1、2024年第一季度报告；2、关于续聘公司2024年度审计机构的议案</w:t>
            </w:r>
          </w:p>
        </w:tc>
      </w:tr>
      <w:tr w:rsidR="00A27D66" w:rsidRPr="0071583E" w:rsidTr="00A1473E">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第十一届董事会第六次会议</w:t>
            </w:r>
          </w:p>
        </w:tc>
        <w:tc>
          <w:tcPr>
            <w:tcW w:w="1419"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2024年05月21日</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2024年05月22日</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会议认真审议并通过了如下议案：1、关于2021年限制性股票激励计划首次授予第三个解除限售期及预留授予第二个解除限售期解除限售条件未成就暨回购注销部分限制性股票的议案；2、关于修订《分红管理制度》的议案；3、关于减少注册资本</w:t>
            </w:r>
            <w:proofErr w:type="gramStart"/>
            <w:r w:rsidRPr="00F06395">
              <w:rPr>
                <w:rFonts w:ascii="宋体" w:eastAsia="宋体" w:hAnsi="宋体" w:cs="宋体"/>
                <w:sz w:val="18"/>
                <w:szCs w:val="18"/>
              </w:rPr>
              <w:t>暨修改</w:t>
            </w:r>
            <w:proofErr w:type="gramEnd"/>
            <w:r w:rsidRPr="00F06395">
              <w:rPr>
                <w:rFonts w:ascii="宋体" w:eastAsia="宋体" w:hAnsi="宋体" w:cs="宋体"/>
                <w:sz w:val="18"/>
                <w:szCs w:val="18"/>
              </w:rPr>
              <w:t>《公司章程》的议案；4、关于召开公司2023年度股东大会的议案</w:t>
            </w:r>
          </w:p>
        </w:tc>
      </w:tr>
      <w:tr w:rsidR="00A27D66" w:rsidRPr="0071583E" w:rsidTr="00A1473E">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第十一届董事会第七次会议</w:t>
            </w:r>
          </w:p>
        </w:tc>
        <w:tc>
          <w:tcPr>
            <w:tcW w:w="1419"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2024年08月29日</w:t>
            </w:r>
          </w:p>
        </w:tc>
        <w:tc>
          <w:tcPr>
            <w:tcW w:w="1701"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2024年08月31日</w:t>
            </w:r>
          </w:p>
        </w:tc>
        <w:tc>
          <w:tcPr>
            <w:tcW w:w="4110" w:type="dxa"/>
            <w:tcBorders>
              <w:top w:val="single" w:sz="2" w:space="0" w:color="auto"/>
              <w:left w:val="single" w:sz="2" w:space="0" w:color="auto"/>
              <w:bottom w:val="single" w:sz="2" w:space="0" w:color="auto"/>
              <w:right w:val="single" w:sz="2" w:space="0" w:color="auto"/>
            </w:tcBorders>
            <w:vAlign w:val="center"/>
          </w:tcPr>
          <w:p w:rsidR="00A27D66" w:rsidRPr="00F06395" w:rsidRDefault="00A2119D">
            <w:pPr>
              <w:spacing w:line="240" w:lineRule="exact"/>
              <w:rPr>
                <w:rFonts w:ascii="宋体" w:eastAsia="宋体" w:hAnsi="宋体" w:cs="宋体"/>
                <w:sz w:val="18"/>
                <w:szCs w:val="18"/>
              </w:rPr>
            </w:pPr>
            <w:r w:rsidRPr="00F06395">
              <w:rPr>
                <w:rFonts w:ascii="宋体" w:eastAsia="宋体" w:hAnsi="宋体" w:cs="宋体"/>
                <w:sz w:val="18"/>
                <w:szCs w:val="18"/>
              </w:rPr>
              <w:t>会议认真审议并通过了如下议案：1、2024年半年度报告及半年度报告摘要；2、关于修订《董事、监事、高级管理人员持股及变动管理制度》的议案</w:t>
            </w:r>
          </w:p>
        </w:tc>
      </w:tr>
      <w:tr w:rsidR="00D00213" w:rsidRPr="005E1AA4" w:rsidTr="00A1473E">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D00213" w:rsidRPr="00F06395" w:rsidRDefault="00D00213" w:rsidP="00D00213">
            <w:pPr>
              <w:spacing w:line="240" w:lineRule="exact"/>
              <w:rPr>
                <w:rFonts w:ascii="宋体" w:eastAsia="宋体" w:hAnsi="宋体" w:cs="宋体"/>
                <w:sz w:val="18"/>
                <w:szCs w:val="18"/>
              </w:rPr>
            </w:pPr>
            <w:r w:rsidRPr="00F06395">
              <w:rPr>
                <w:rFonts w:ascii="宋体" w:eastAsia="宋体" w:hAnsi="宋体" w:cs="宋体"/>
                <w:sz w:val="18"/>
                <w:szCs w:val="18"/>
              </w:rPr>
              <w:t>第十一届董事会第</w:t>
            </w:r>
            <w:r w:rsidRPr="00F06395">
              <w:rPr>
                <w:rFonts w:ascii="宋体" w:eastAsia="宋体" w:hAnsi="宋体" w:cs="宋体" w:hint="eastAsia"/>
                <w:sz w:val="18"/>
                <w:szCs w:val="18"/>
              </w:rPr>
              <w:t>八</w:t>
            </w:r>
            <w:r w:rsidRPr="00F06395">
              <w:rPr>
                <w:rFonts w:ascii="宋体" w:eastAsia="宋体" w:hAnsi="宋体" w:cs="宋体"/>
                <w:sz w:val="18"/>
                <w:szCs w:val="18"/>
              </w:rPr>
              <w:t>次会议</w:t>
            </w:r>
          </w:p>
        </w:tc>
        <w:tc>
          <w:tcPr>
            <w:tcW w:w="1419" w:type="dxa"/>
            <w:tcBorders>
              <w:top w:val="single" w:sz="2" w:space="0" w:color="auto"/>
              <w:left w:val="single" w:sz="2" w:space="0" w:color="auto"/>
              <w:bottom w:val="single" w:sz="2" w:space="0" w:color="auto"/>
              <w:right w:val="single" w:sz="2" w:space="0" w:color="auto"/>
            </w:tcBorders>
            <w:vAlign w:val="center"/>
          </w:tcPr>
          <w:p w:rsidR="00D00213" w:rsidRPr="00F06395" w:rsidRDefault="00D00213" w:rsidP="00D00213">
            <w:pPr>
              <w:spacing w:line="240" w:lineRule="exact"/>
              <w:rPr>
                <w:rFonts w:ascii="宋体" w:eastAsia="宋体" w:hAnsi="宋体" w:cs="宋体"/>
                <w:sz w:val="18"/>
                <w:szCs w:val="18"/>
              </w:rPr>
            </w:pPr>
            <w:r w:rsidRPr="00F06395">
              <w:rPr>
                <w:rFonts w:ascii="宋体" w:eastAsia="宋体" w:hAnsi="宋体" w:cs="宋体"/>
                <w:sz w:val="18"/>
                <w:szCs w:val="18"/>
              </w:rPr>
              <w:t>2024年10月29日</w:t>
            </w:r>
          </w:p>
        </w:tc>
        <w:tc>
          <w:tcPr>
            <w:tcW w:w="1701" w:type="dxa"/>
            <w:tcBorders>
              <w:top w:val="single" w:sz="2" w:space="0" w:color="auto"/>
              <w:left w:val="single" w:sz="2" w:space="0" w:color="auto"/>
              <w:bottom w:val="single" w:sz="2" w:space="0" w:color="auto"/>
              <w:right w:val="single" w:sz="2" w:space="0" w:color="auto"/>
            </w:tcBorders>
            <w:vAlign w:val="center"/>
          </w:tcPr>
          <w:p w:rsidR="00D00213" w:rsidRPr="00F06395" w:rsidRDefault="00D00213" w:rsidP="00D00213">
            <w:pPr>
              <w:spacing w:line="240" w:lineRule="exact"/>
              <w:rPr>
                <w:rFonts w:ascii="宋体" w:eastAsia="宋体" w:hAnsi="宋体" w:cs="宋体"/>
                <w:sz w:val="18"/>
                <w:szCs w:val="18"/>
              </w:rPr>
            </w:pPr>
            <w:r w:rsidRPr="00F06395">
              <w:rPr>
                <w:rFonts w:ascii="宋体" w:eastAsia="宋体" w:hAnsi="宋体" w:cs="宋体"/>
                <w:sz w:val="18"/>
                <w:szCs w:val="18"/>
              </w:rPr>
              <w:t>2024年10月30日</w:t>
            </w:r>
          </w:p>
        </w:tc>
        <w:tc>
          <w:tcPr>
            <w:tcW w:w="4110" w:type="dxa"/>
            <w:tcBorders>
              <w:top w:val="single" w:sz="2" w:space="0" w:color="auto"/>
              <w:left w:val="single" w:sz="2" w:space="0" w:color="auto"/>
              <w:bottom w:val="single" w:sz="2" w:space="0" w:color="auto"/>
              <w:right w:val="single" w:sz="2" w:space="0" w:color="auto"/>
            </w:tcBorders>
            <w:vAlign w:val="center"/>
          </w:tcPr>
          <w:p w:rsidR="00D00213" w:rsidRPr="00F06395" w:rsidRDefault="00D00213" w:rsidP="00D00213">
            <w:pPr>
              <w:spacing w:line="240" w:lineRule="exact"/>
              <w:rPr>
                <w:rFonts w:ascii="宋体" w:eastAsia="宋体" w:hAnsi="宋体" w:cs="宋体"/>
                <w:sz w:val="18"/>
                <w:szCs w:val="18"/>
              </w:rPr>
            </w:pPr>
            <w:r w:rsidRPr="00F06395">
              <w:rPr>
                <w:rFonts w:ascii="宋体" w:eastAsia="宋体" w:hAnsi="宋体" w:cs="宋体" w:hint="eastAsia"/>
                <w:sz w:val="18"/>
                <w:szCs w:val="18"/>
              </w:rPr>
              <w:t>会议认真审议并通过了2024年第三季度报告</w:t>
            </w:r>
          </w:p>
        </w:tc>
      </w:tr>
    </w:tbl>
    <w:p w:rsidR="00A27D66" w:rsidRDefault="00A2119D">
      <w:pPr>
        <w:pStyle w:val="3"/>
        <w:spacing w:line="280" w:lineRule="exact"/>
        <w:jc w:val="left"/>
        <w:rPr>
          <w:rFonts w:ascii="宋体" w:hAnsi="宋体" w:cs="宋体"/>
          <w:b/>
          <w:bCs/>
        </w:rPr>
      </w:pPr>
      <w:bookmarkStart w:id="70" w:name="_Toc988955"/>
      <w:r>
        <w:rPr>
          <w:rFonts w:ascii="宋体" w:hAnsi="宋体" w:cs="宋体"/>
          <w:b/>
          <w:bCs/>
        </w:rPr>
        <w:t>2、董事出席董事会及股东大会的情况</w:t>
      </w:r>
      <w:bookmarkEnd w:id="70"/>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A27D66">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董事出席董事会及股东大会的情况</w:t>
            </w:r>
          </w:p>
        </w:tc>
      </w:tr>
      <w:tr w:rsidR="00A27D66">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董事姓名</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本报告期应参加董事会次数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现场出席董事会次数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以通讯方式参加董事会次数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委托出席董事会次数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是否连续两次未亲自参加董事会会议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出席股东大会次数</w:t>
            </w:r>
          </w:p>
        </w:tc>
      </w:tr>
      <w:tr w:rsidR="00A27D66">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A27D66" w:rsidRDefault="003136B3">
            <w:pPr>
              <w:spacing w:line="240" w:lineRule="exact"/>
              <w:rPr>
                <w:rFonts w:ascii="宋体" w:eastAsia="宋体" w:hAnsi="宋体" w:cs="宋体"/>
                <w:sz w:val="18"/>
                <w:szCs w:val="18"/>
              </w:rPr>
            </w:pPr>
            <w:r w:rsidRPr="003136B3">
              <w:rPr>
                <w:rFonts w:ascii="宋体" w:eastAsia="宋体" w:hAnsi="宋体" w:cs="宋体" w:hint="eastAsia"/>
                <w:sz w:val="18"/>
                <w:szCs w:val="18"/>
              </w:rPr>
              <w:t>胡煜</w:t>
            </w:r>
            <w:r w:rsidRPr="003136B3">
              <w:rPr>
                <w:rFonts w:ascii="微软雅黑" w:eastAsia="微软雅黑" w:hAnsi="微软雅黑" w:cs="微软雅黑" w:hint="eastAsia"/>
                <w:sz w:val="18"/>
                <w:szCs w:val="18"/>
              </w:rPr>
              <w:t>𨱑</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A27D66">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李忠</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A27D66">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杨定轶</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A27D66">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吕凌</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A27D66">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廖义刚</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A27D66">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钟刚</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w:t>
            </w:r>
          </w:p>
        </w:tc>
      </w:tr>
      <w:tr w:rsidR="00A27D66">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杨乃定</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w:t>
            </w:r>
          </w:p>
        </w:tc>
      </w:tr>
    </w:tbl>
    <w:p w:rsidR="006732A4" w:rsidRDefault="00A2119D" w:rsidP="006732A4">
      <w:pPr>
        <w:rPr>
          <w:rFonts w:ascii="宋体" w:eastAsia="宋体" w:hAnsi="宋体" w:cs="宋体"/>
          <w:sz w:val="18"/>
          <w:szCs w:val="18"/>
        </w:rPr>
      </w:pPr>
      <w:r>
        <w:rPr>
          <w:rFonts w:ascii="宋体" w:eastAsia="宋体" w:hAnsi="宋体" w:cs="宋体"/>
          <w:sz w:val="18"/>
          <w:szCs w:val="18"/>
        </w:rPr>
        <w:t>连续两次未亲自出席董事会的说明</w:t>
      </w:r>
    </w:p>
    <w:p w:rsidR="00A2119D" w:rsidRPr="006732A4" w:rsidRDefault="00A2119D" w:rsidP="006732A4">
      <w:pPr>
        <w:rPr>
          <w:rFonts w:ascii="宋体" w:eastAsia="宋体" w:hAnsi="宋体" w:cs="宋体"/>
          <w:sz w:val="18"/>
          <w:szCs w:val="18"/>
        </w:rPr>
      </w:pPr>
      <w:r>
        <w:rPr>
          <w:rFonts w:hint="eastAsia"/>
          <w:sz w:val="18"/>
          <w:szCs w:val="18"/>
        </w:rPr>
        <w:t>不适用</w:t>
      </w:r>
    </w:p>
    <w:p w:rsidR="00A27D66" w:rsidRDefault="00A2119D">
      <w:pPr>
        <w:pStyle w:val="3"/>
        <w:spacing w:line="280" w:lineRule="exact"/>
        <w:jc w:val="left"/>
        <w:rPr>
          <w:rFonts w:ascii="宋体" w:hAnsi="宋体" w:cs="宋体"/>
          <w:b/>
          <w:bCs/>
        </w:rPr>
      </w:pPr>
      <w:bookmarkStart w:id="71" w:name="_Toc988956"/>
      <w:r>
        <w:rPr>
          <w:rFonts w:ascii="宋体" w:hAnsi="宋体" w:cs="宋体"/>
          <w:b/>
          <w:bCs/>
        </w:rPr>
        <w:t>3、董事对公司有关事项提出异议的情况</w:t>
      </w:r>
      <w:bookmarkEnd w:id="71"/>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董事对公司有关事项是否提出异议</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报告期内董事对公司有关事项未提出异议。</w:t>
      </w:r>
    </w:p>
    <w:p w:rsidR="00A27D66" w:rsidRDefault="00A2119D">
      <w:pPr>
        <w:pStyle w:val="3"/>
        <w:spacing w:line="280" w:lineRule="exact"/>
        <w:jc w:val="left"/>
        <w:rPr>
          <w:rFonts w:ascii="宋体" w:hAnsi="宋体" w:cs="宋体"/>
          <w:b/>
          <w:bCs/>
        </w:rPr>
      </w:pPr>
      <w:bookmarkStart w:id="72" w:name="_Toc988957"/>
      <w:r>
        <w:rPr>
          <w:rFonts w:ascii="宋体" w:hAnsi="宋体" w:cs="宋体"/>
          <w:b/>
          <w:bCs/>
        </w:rPr>
        <w:lastRenderedPageBreak/>
        <w:t>4、董事履行职责的其他说明</w:t>
      </w:r>
      <w:bookmarkEnd w:id="72"/>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董事对公司有关建议是否被采纳</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A27D66" w:rsidRDefault="00A2119D" w:rsidP="004D0E3C">
      <w:pPr>
        <w:spacing w:line="560" w:lineRule="exact"/>
        <w:rPr>
          <w:rFonts w:ascii="宋体" w:eastAsia="宋体" w:hAnsi="宋体" w:cs="宋体"/>
          <w:sz w:val="18"/>
          <w:szCs w:val="18"/>
        </w:rPr>
      </w:pPr>
      <w:r>
        <w:rPr>
          <w:rFonts w:ascii="宋体" w:eastAsia="宋体" w:hAnsi="宋体" w:cs="宋体"/>
          <w:sz w:val="18"/>
          <w:szCs w:val="18"/>
        </w:rPr>
        <w:t>董事对公司有关建议被采纳或未被采纳的说明</w:t>
      </w:r>
    </w:p>
    <w:p w:rsidR="00A2119D" w:rsidRPr="004D0E3C" w:rsidRDefault="00A2119D" w:rsidP="00003D92">
      <w:pPr>
        <w:pStyle w:val="a3"/>
        <w:spacing w:before="0" w:beforeAutospacing="0" w:after="0" w:afterAutospacing="0" w:line="360" w:lineRule="auto"/>
        <w:ind w:firstLine="561"/>
        <w:jc w:val="both"/>
        <w:divId w:val="452795505"/>
        <w:rPr>
          <w:sz w:val="21"/>
          <w:szCs w:val="21"/>
        </w:rPr>
      </w:pPr>
      <w:r>
        <w:rPr>
          <w:rFonts w:ascii="Calibri" w:eastAsia="仿宋" w:hAnsi="Calibri" w:cs="Calibri"/>
          <w:color w:val="000000"/>
          <w:sz w:val="28"/>
          <w:szCs w:val="28"/>
        </w:rPr>
        <w:t> </w:t>
      </w:r>
      <w:r w:rsidRPr="000A1D01">
        <w:rPr>
          <w:rFonts w:hint="eastAsia"/>
          <w:color w:val="000000"/>
          <w:sz w:val="21"/>
          <w:szCs w:val="21"/>
        </w:rPr>
        <w:t>报告期内，公司全体董事按照《深圳证券交易所上市公司自律监管指引第 1 号——主板上市公司规范运作》《公司章程》及《公司董事会议事规则》等相关法律法规及规章制度的要求，勤勉尽责，主动了解公司生产经营状况和内部控制建设，按时参加了年内召开的董事会、股东大会，</w:t>
      </w:r>
      <w:r w:rsidRPr="000A1D01">
        <w:rPr>
          <w:rFonts w:hint="eastAsia"/>
          <w:sz w:val="21"/>
          <w:szCs w:val="21"/>
        </w:rPr>
        <w:t>认真审议各项议案并深入讨论，</w:t>
      </w:r>
      <w:r w:rsidRPr="000A1D01">
        <w:rPr>
          <w:rFonts w:hint="eastAsia"/>
          <w:color w:val="000000"/>
          <w:sz w:val="21"/>
          <w:szCs w:val="21"/>
        </w:rPr>
        <w:t>客观地发表自己的看法及观点。各位董事基于各自专业背景、丰富经验以及对公司发展的深切关注，积极为公司发展建言献策，提出众多合理化的意见和建议。公司高度重视董事建议，积极采纳符合公司发展需求的合理化建议，推动公司持续进步。公司将继续加强与董事的沟通交流，充分发挥董事专业优势，共同推动公司高质量发展。</w:t>
      </w:r>
    </w:p>
    <w:p w:rsidR="00A27D66" w:rsidRDefault="00A2119D">
      <w:pPr>
        <w:pStyle w:val="2"/>
        <w:spacing w:before="300" w:after="300" w:line="320" w:lineRule="exact"/>
        <w:rPr>
          <w:rFonts w:ascii="宋体" w:eastAsia="宋体" w:hAnsi="宋体" w:cs="宋体"/>
          <w:b/>
          <w:bCs/>
          <w:sz w:val="24"/>
          <w:szCs w:val="24"/>
        </w:rPr>
      </w:pPr>
      <w:bookmarkStart w:id="73" w:name="_Toc988958"/>
      <w:r>
        <w:rPr>
          <w:rFonts w:ascii="宋体" w:eastAsia="宋体" w:hAnsi="宋体" w:cs="宋体"/>
          <w:b/>
          <w:bCs/>
          <w:sz w:val="24"/>
          <w:szCs w:val="24"/>
        </w:rPr>
        <w:t>七、董事会下设专门委员会在报告期内的情况</w:t>
      </w:r>
      <w:bookmarkEnd w:id="7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852"/>
        <w:gridCol w:w="1134"/>
        <w:gridCol w:w="1275"/>
        <w:gridCol w:w="2127"/>
        <w:gridCol w:w="850"/>
        <w:gridCol w:w="992"/>
      </w:tblGrid>
      <w:tr w:rsidR="00A27D66" w:rsidTr="004D0E3C">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委员会名称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成员情况</w:t>
            </w:r>
          </w:p>
        </w:tc>
        <w:tc>
          <w:tcPr>
            <w:tcW w:w="85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召开会议次数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会议内容</w:t>
            </w:r>
          </w:p>
        </w:tc>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提出的重要意见和建议</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其他履行职责的情况</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异议事项具体情况（如有）</w:t>
            </w:r>
          </w:p>
        </w:tc>
      </w:tr>
      <w:tr w:rsidR="004D0E3C" w:rsidTr="0095463F">
        <w:trPr>
          <w:trHeight w:val="240"/>
        </w:trPr>
        <w:tc>
          <w:tcPr>
            <w:tcW w:w="1204" w:type="dxa"/>
            <w:vMerge w:val="restart"/>
            <w:tcBorders>
              <w:top w:val="single" w:sz="2" w:space="0" w:color="auto"/>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r>
              <w:rPr>
                <w:rFonts w:ascii="宋体" w:eastAsia="宋体" w:hAnsi="宋体" w:cs="宋体"/>
                <w:sz w:val="18"/>
                <w:szCs w:val="18"/>
              </w:rPr>
              <w:t>审计委员会</w:t>
            </w:r>
          </w:p>
        </w:tc>
        <w:tc>
          <w:tcPr>
            <w:tcW w:w="1205" w:type="dxa"/>
            <w:vMerge w:val="restart"/>
            <w:tcBorders>
              <w:top w:val="single" w:sz="2" w:space="0" w:color="auto"/>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r>
              <w:rPr>
                <w:rFonts w:ascii="宋体" w:eastAsia="宋体" w:hAnsi="宋体" w:cs="宋体"/>
                <w:sz w:val="18"/>
                <w:szCs w:val="18"/>
              </w:rPr>
              <w:t>廖义刚、钟刚、吕凌</w:t>
            </w:r>
          </w:p>
        </w:tc>
        <w:tc>
          <w:tcPr>
            <w:tcW w:w="852" w:type="dxa"/>
            <w:vMerge w:val="restart"/>
            <w:tcBorders>
              <w:top w:val="single" w:sz="2" w:space="0" w:color="auto"/>
              <w:left w:val="single" w:sz="2" w:space="0" w:color="auto"/>
              <w:right w:val="single" w:sz="2" w:space="0" w:color="auto"/>
            </w:tcBorders>
            <w:vAlign w:val="center"/>
          </w:tcPr>
          <w:p w:rsidR="004D0E3C" w:rsidRDefault="004D0E3C" w:rsidP="004D0E3C">
            <w:pPr>
              <w:spacing w:line="240" w:lineRule="exact"/>
              <w:jc w:val="right"/>
              <w:rPr>
                <w:rFonts w:ascii="宋体" w:eastAsia="宋体" w:hAnsi="宋体" w:cs="宋体"/>
                <w:sz w:val="18"/>
                <w:szCs w:val="18"/>
              </w:rPr>
            </w:pPr>
            <w:r>
              <w:rPr>
                <w:rFonts w:ascii="宋体" w:eastAsia="宋体" w:hAnsi="宋体" w:cs="宋体"/>
                <w:sz w:val="18"/>
                <w:szCs w:val="18"/>
              </w:rPr>
              <w:t>8</w:t>
            </w:r>
          </w:p>
        </w:tc>
        <w:tc>
          <w:tcPr>
            <w:tcW w:w="1134"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1275"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审议关于聘任公司财务总监的议案</w:t>
            </w:r>
          </w:p>
        </w:tc>
        <w:tc>
          <w:tcPr>
            <w:tcW w:w="2127"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建议聘任彭占凯先生为公司财务总监，并同意将该议案提交公司第十一届董事会第一次会议审议。</w:t>
            </w:r>
          </w:p>
        </w:tc>
        <w:tc>
          <w:tcPr>
            <w:tcW w:w="850"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r>
      <w:tr w:rsidR="004D0E3C" w:rsidTr="0095463F">
        <w:trPr>
          <w:trHeight w:val="240"/>
        </w:trPr>
        <w:tc>
          <w:tcPr>
            <w:tcW w:w="1204" w:type="dxa"/>
            <w:vMerge/>
            <w:tcBorders>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p>
        </w:tc>
        <w:tc>
          <w:tcPr>
            <w:tcW w:w="1205" w:type="dxa"/>
            <w:vMerge/>
            <w:tcBorders>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p>
        </w:tc>
        <w:tc>
          <w:tcPr>
            <w:tcW w:w="852" w:type="dxa"/>
            <w:vMerge/>
            <w:tcBorders>
              <w:left w:val="single" w:sz="2" w:space="0" w:color="auto"/>
              <w:right w:val="single" w:sz="2" w:space="0" w:color="auto"/>
            </w:tcBorders>
            <w:vAlign w:val="center"/>
          </w:tcPr>
          <w:p w:rsidR="004D0E3C" w:rsidRDefault="004D0E3C" w:rsidP="0095463F">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2024年01月30日</w:t>
            </w:r>
          </w:p>
        </w:tc>
        <w:tc>
          <w:tcPr>
            <w:tcW w:w="1275"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审阅公司财务部门提交的2023年度相关财务报表，并与公司管理层就公司2023年度生产经营情况及重大事项进展情况进行沟通</w:t>
            </w:r>
          </w:p>
        </w:tc>
        <w:tc>
          <w:tcPr>
            <w:tcW w:w="2127"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1、认为公司财务部门提交的财务报表在所有重大方面真实、完整地反映了公司2023年12月31日的财务状况以及2023年度的经营成果和现金流量情况;未发现有大股东占用公司资金情况；未发现公司有对外违规担保情况及异常关联交易情况。</w:t>
            </w:r>
          </w:p>
          <w:p w:rsidR="004D0E3C" w:rsidRDefault="004D0E3C">
            <w:pPr>
              <w:spacing w:line="240" w:lineRule="exact"/>
              <w:rPr>
                <w:rFonts w:ascii="宋体" w:eastAsia="宋体" w:hAnsi="宋体" w:cs="宋体"/>
                <w:sz w:val="18"/>
                <w:szCs w:val="18"/>
              </w:rPr>
            </w:pPr>
            <w:r>
              <w:rPr>
                <w:rFonts w:ascii="宋体" w:eastAsia="宋体" w:hAnsi="宋体" w:cs="宋体"/>
                <w:sz w:val="18"/>
                <w:szCs w:val="18"/>
              </w:rPr>
              <w:t>2、鉴于本次财务报表初步审阅时间距年度报告审计日尚有一段时间，提请公司财务部门重点关注中国财政部、中国证监会有关财务报告编制的相关规定，认真做好相关工作，以保证财务报表的真实、完整。3、认为管理层已积极贯彻落实公司董事会确定的经营战略方针，对管</w:t>
            </w:r>
            <w:r>
              <w:rPr>
                <w:rFonts w:ascii="宋体" w:eastAsia="宋体" w:hAnsi="宋体" w:cs="宋体"/>
                <w:sz w:val="18"/>
                <w:szCs w:val="18"/>
              </w:rPr>
              <w:lastRenderedPageBreak/>
              <w:t>理层2023年所作的工作表示了肯定，并对公司未来的经营发展提出了建议及期望。</w:t>
            </w:r>
          </w:p>
        </w:tc>
        <w:tc>
          <w:tcPr>
            <w:tcW w:w="850"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r>
      <w:tr w:rsidR="004D0E3C" w:rsidTr="0095463F">
        <w:trPr>
          <w:trHeight w:val="240"/>
        </w:trPr>
        <w:tc>
          <w:tcPr>
            <w:tcW w:w="1204" w:type="dxa"/>
            <w:vMerge/>
            <w:tcBorders>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p>
        </w:tc>
        <w:tc>
          <w:tcPr>
            <w:tcW w:w="1205" w:type="dxa"/>
            <w:vMerge/>
            <w:tcBorders>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p>
        </w:tc>
        <w:tc>
          <w:tcPr>
            <w:tcW w:w="852" w:type="dxa"/>
            <w:vMerge/>
            <w:tcBorders>
              <w:left w:val="single" w:sz="2" w:space="0" w:color="auto"/>
              <w:right w:val="single" w:sz="2" w:space="0" w:color="auto"/>
            </w:tcBorders>
            <w:vAlign w:val="center"/>
          </w:tcPr>
          <w:p w:rsidR="004D0E3C" w:rsidRDefault="004D0E3C" w:rsidP="0095463F">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2024年01月30日</w:t>
            </w:r>
          </w:p>
        </w:tc>
        <w:tc>
          <w:tcPr>
            <w:tcW w:w="1275"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与广东司农会计师事务所（特殊普通合伙）就2023年报审计工作的独立性、审计范围及时间安排等相关事项进行沟通</w:t>
            </w:r>
          </w:p>
        </w:tc>
        <w:tc>
          <w:tcPr>
            <w:tcW w:w="2127"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对2023年度审计计划中的细节进行了咨询和交流，确认了出具审计报告的时间。</w:t>
            </w:r>
          </w:p>
        </w:tc>
        <w:tc>
          <w:tcPr>
            <w:tcW w:w="850"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r>
      <w:tr w:rsidR="004D0E3C" w:rsidTr="0095463F">
        <w:trPr>
          <w:trHeight w:val="240"/>
        </w:trPr>
        <w:tc>
          <w:tcPr>
            <w:tcW w:w="1204" w:type="dxa"/>
            <w:vMerge/>
            <w:tcBorders>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p>
        </w:tc>
        <w:tc>
          <w:tcPr>
            <w:tcW w:w="1205" w:type="dxa"/>
            <w:vMerge/>
            <w:tcBorders>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p>
        </w:tc>
        <w:tc>
          <w:tcPr>
            <w:tcW w:w="852" w:type="dxa"/>
            <w:vMerge/>
            <w:tcBorders>
              <w:left w:val="single" w:sz="2" w:space="0" w:color="auto"/>
              <w:right w:val="single" w:sz="2" w:space="0" w:color="auto"/>
            </w:tcBorders>
            <w:vAlign w:val="center"/>
          </w:tcPr>
          <w:p w:rsidR="004D0E3C" w:rsidRDefault="004D0E3C" w:rsidP="0095463F">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2024年04月09日</w:t>
            </w:r>
          </w:p>
        </w:tc>
        <w:tc>
          <w:tcPr>
            <w:tcW w:w="1275"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与广东司农会计师事务所（特殊普通合伙）就2023年度审计过程中发现的问题、关键审计事项，重大事项及会计处理、审计报告的出具情况等进行了沟通</w:t>
            </w:r>
          </w:p>
        </w:tc>
        <w:tc>
          <w:tcPr>
            <w:tcW w:w="2127"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对会计师事务所与治理层的沟通函中涉及事项的处理无异议</w:t>
            </w:r>
          </w:p>
        </w:tc>
        <w:tc>
          <w:tcPr>
            <w:tcW w:w="850"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r>
      <w:tr w:rsidR="004D0E3C" w:rsidTr="0095463F">
        <w:trPr>
          <w:trHeight w:val="240"/>
        </w:trPr>
        <w:tc>
          <w:tcPr>
            <w:tcW w:w="1204" w:type="dxa"/>
            <w:vMerge/>
            <w:tcBorders>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p>
        </w:tc>
        <w:tc>
          <w:tcPr>
            <w:tcW w:w="1205" w:type="dxa"/>
            <w:vMerge/>
            <w:tcBorders>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p>
        </w:tc>
        <w:tc>
          <w:tcPr>
            <w:tcW w:w="852" w:type="dxa"/>
            <w:vMerge/>
            <w:tcBorders>
              <w:left w:val="single" w:sz="2" w:space="0" w:color="auto"/>
              <w:right w:val="single" w:sz="2" w:space="0" w:color="auto"/>
            </w:tcBorders>
            <w:vAlign w:val="center"/>
          </w:tcPr>
          <w:p w:rsidR="004D0E3C" w:rsidRDefault="004D0E3C" w:rsidP="0095463F">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2024年04月16日</w:t>
            </w:r>
          </w:p>
        </w:tc>
        <w:tc>
          <w:tcPr>
            <w:tcW w:w="1275" w:type="dxa"/>
            <w:tcBorders>
              <w:top w:val="single" w:sz="2" w:space="0" w:color="auto"/>
              <w:left w:val="single" w:sz="2" w:space="0" w:color="auto"/>
              <w:bottom w:val="single" w:sz="2" w:space="0" w:color="auto"/>
              <w:right w:val="single" w:sz="2" w:space="0" w:color="auto"/>
            </w:tcBorders>
            <w:vAlign w:val="center"/>
          </w:tcPr>
          <w:p w:rsidR="004D0E3C" w:rsidRDefault="001962CD">
            <w:pPr>
              <w:spacing w:line="240" w:lineRule="exact"/>
              <w:rPr>
                <w:rFonts w:ascii="宋体" w:eastAsia="宋体" w:hAnsi="宋体" w:cs="宋体"/>
                <w:sz w:val="18"/>
                <w:szCs w:val="18"/>
              </w:rPr>
            </w:pPr>
            <w:r>
              <w:rPr>
                <w:rFonts w:ascii="宋体" w:eastAsia="宋体" w:hAnsi="宋体" w:cs="宋体" w:hint="eastAsia"/>
                <w:sz w:val="18"/>
                <w:szCs w:val="18"/>
              </w:rPr>
              <w:t>审阅</w:t>
            </w:r>
            <w:proofErr w:type="gramStart"/>
            <w:r w:rsidR="004D0E3C">
              <w:rPr>
                <w:rFonts w:ascii="宋体" w:eastAsia="宋体" w:hAnsi="宋体" w:cs="宋体"/>
                <w:sz w:val="18"/>
                <w:szCs w:val="18"/>
              </w:rPr>
              <w:t>公司风控审计</w:t>
            </w:r>
            <w:proofErr w:type="gramEnd"/>
            <w:r w:rsidR="004D0E3C">
              <w:rPr>
                <w:rFonts w:ascii="宋体" w:eastAsia="宋体" w:hAnsi="宋体" w:cs="宋体"/>
                <w:sz w:val="18"/>
                <w:szCs w:val="18"/>
              </w:rPr>
              <w:t>部关于2023年内部审计工作报告与2024</w:t>
            </w:r>
            <w:r>
              <w:rPr>
                <w:rFonts w:ascii="宋体" w:eastAsia="宋体" w:hAnsi="宋体" w:cs="宋体"/>
                <w:sz w:val="18"/>
                <w:szCs w:val="18"/>
              </w:rPr>
              <w:t>年度审计计划</w:t>
            </w:r>
            <w:r w:rsidR="004D0E3C">
              <w:rPr>
                <w:rFonts w:ascii="宋体" w:eastAsia="宋体" w:hAnsi="宋体" w:cs="宋体"/>
                <w:sz w:val="18"/>
                <w:szCs w:val="18"/>
              </w:rPr>
              <w:t>，并审议如下议案：1、2023年度报告及年度报告摘要；2、2023年度财务报告；3、2023年度内部控制评价报告；4、董事会审计委员会对会计师事务所2023年度履职情况评估及履行监督职责情况报告；5、关于制定《会计师事务所选聘制度》的议案；6、关</w:t>
            </w:r>
            <w:r w:rsidR="004D0E3C">
              <w:rPr>
                <w:rFonts w:ascii="宋体" w:eastAsia="宋体" w:hAnsi="宋体" w:cs="宋体"/>
                <w:sz w:val="18"/>
                <w:szCs w:val="18"/>
              </w:rPr>
              <w:lastRenderedPageBreak/>
              <w:t>于会计政策变更追溯调整财务报表数据的专项说明</w:t>
            </w:r>
          </w:p>
        </w:tc>
        <w:tc>
          <w:tcPr>
            <w:tcW w:w="2127"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lastRenderedPageBreak/>
              <w:t>1、</w:t>
            </w:r>
            <w:proofErr w:type="gramStart"/>
            <w:r>
              <w:rPr>
                <w:rFonts w:ascii="宋体" w:eastAsia="宋体" w:hAnsi="宋体" w:cs="宋体"/>
                <w:sz w:val="18"/>
                <w:szCs w:val="18"/>
              </w:rPr>
              <w:t>要求风控审计</w:t>
            </w:r>
            <w:proofErr w:type="gramEnd"/>
            <w:r>
              <w:rPr>
                <w:rFonts w:ascii="宋体" w:eastAsia="宋体" w:hAnsi="宋体" w:cs="宋体"/>
                <w:sz w:val="18"/>
                <w:szCs w:val="18"/>
              </w:rPr>
              <w:t>部对于审计过程中发现的问题监督整改，持续跟踪反馈。2</w:t>
            </w:r>
            <w:r w:rsidR="001E0FBB">
              <w:rPr>
                <w:rFonts w:ascii="宋体" w:eastAsia="宋体" w:hAnsi="宋体" w:cs="宋体"/>
                <w:sz w:val="18"/>
                <w:szCs w:val="18"/>
              </w:rPr>
              <w:t>、一致同意通过了审议的议案，并同意将相关议案</w:t>
            </w:r>
            <w:r>
              <w:rPr>
                <w:rFonts w:ascii="宋体" w:eastAsia="宋体" w:hAnsi="宋体" w:cs="宋体"/>
                <w:sz w:val="18"/>
                <w:szCs w:val="18"/>
              </w:rPr>
              <w:t>提交公司第十一届董事会第四次会议审议。</w:t>
            </w:r>
          </w:p>
        </w:tc>
        <w:tc>
          <w:tcPr>
            <w:tcW w:w="850"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r>
      <w:tr w:rsidR="004D0E3C" w:rsidTr="0095463F">
        <w:trPr>
          <w:trHeight w:val="240"/>
        </w:trPr>
        <w:tc>
          <w:tcPr>
            <w:tcW w:w="1204" w:type="dxa"/>
            <w:vMerge/>
            <w:tcBorders>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p>
        </w:tc>
        <w:tc>
          <w:tcPr>
            <w:tcW w:w="1205" w:type="dxa"/>
            <w:vMerge/>
            <w:tcBorders>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p>
        </w:tc>
        <w:tc>
          <w:tcPr>
            <w:tcW w:w="852" w:type="dxa"/>
            <w:vMerge/>
            <w:tcBorders>
              <w:left w:val="single" w:sz="2" w:space="0" w:color="auto"/>
              <w:right w:val="single" w:sz="2" w:space="0" w:color="auto"/>
            </w:tcBorders>
            <w:vAlign w:val="center"/>
          </w:tcPr>
          <w:p w:rsidR="004D0E3C" w:rsidRDefault="004D0E3C" w:rsidP="0095463F">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2024年04月26日</w:t>
            </w:r>
          </w:p>
        </w:tc>
        <w:tc>
          <w:tcPr>
            <w:tcW w:w="1275" w:type="dxa"/>
            <w:tcBorders>
              <w:top w:val="single" w:sz="2" w:space="0" w:color="auto"/>
              <w:left w:val="single" w:sz="2" w:space="0" w:color="auto"/>
              <w:bottom w:val="single" w:sz="2" w:space="0" w:color="auto"/>
              <w:right w:val="single" w:sz="2" w:space="0" w:color="auto"/>
            </w:tcBorders>
            <w:vAlign w:val="center"/>
          </w:tcPr>
          <w:p w:rsidR="004D0E3C" w:rsidRDefault="001962CD">
            <w:pPr>
              <w:spacing w:line="240" w:lineRule="exact"/>
              <w:rPr>
                <w:rFonts w:ascii="宋体" w:eastAsia="宋体" w:hAnsi="宋体" w:cs="宋体"/>
                <w:sz w:val="18"/>
                <w:szCs w:val="18"/>
              </w:rPr>
            </w:pPr>
            <w:r>
              <w:rPr>
                <w:rFonts w:ascii="宋体" w:eastAsia="宋体" w:hAnsi="宋体" w:cs="宋体" w:hint="eastAsia"/>
                <w:sz w:val="18"/>
                <w:szCs w:val="18"/>
              </w:rPr>
              <w:t>审阅</w:t>
            </w:r>
            <w:proofErr w:type="gramStart"/>
            <w:r w:rsidR="004D0E3C">
              <w:rPr>
                <w:rFonts w:ascii="宋体" w:eastAsia="宋体" w:hAnsi="宋体" w:cs="宋体"/>
                <w:sz w:val="18"/>
                <w:szCs w:val="18"/>
              </w:rPr>
              <w:t>公司风控审计</w:t>
            </w:r>
            <w:proofErr w:type="gramEnd"/>
            <w:r w:rsidR="004D0E3C">
              <w:rPr>
                <w:rFonts w:ascii="宋体" w:eastAsia="宋体" w:hAnsi="宋体" w:cs="宋体"/>
                <w:sz w:val="18"/>
                <w:szCs w:val="18"/>
              </w:rPr>
              <w:t>部关于2024年第一季度内部审计工作的报告，并审议如下议案：1、2024年第一季度报告及年度报告摘要；2、关于续聘公司2024年度审计机构的议案</w:t>
            </w:r>
          </w:p>
        </w:tc>
        <w:tc>
          <w:tcPr>
            <w:tcW w:w="2127"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1、</w:t>
            </w:r>
            <w:proofErr w:type="gramStart"/>
            <w:r>
              <w:rPr>
                <w:rFonts w:ascii="宋体" w:eastAsia="宋体" w:hAnsi="宋体" w:cs="宋体"/>
                <w:sz w:val="18"/>
                <w:szCs w:val="18"/>
              </w:rPr>
              <w:t>要求风控审计</w:t>
            </w:r>
            <w:proofErr w:type="gramEnd"/>
            <w:r>
              <w:rPr>
                <w:rFonts w:ascii="宋体" w:eastAsia="宋体" w:hAnsi="宋体" w:cs="宋体"/>
                <w:sz w:val="18"/>
                <w:szCs w:val="18"/>
              </w:rPr>
              <w:t>部对于审计过程中发现的问题做好监督整改工作，并持续跟踪反馈。2、一致同意通过了审议的议案，并同意将相关议案提交公司第十一届董事会第五次会议审议。</w:t>
            </w:r>
          </w:p>
        </w:tc>
        <w:tc>
          <w:tcPr>
            <w:tcW w:w="850"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r>
      <w:tr w:rsidR="004D0E3C" w:rsidTr="0095463F">
        <w:trPr>
          <w:trHeight w:val="240"/>
        </w:trPr>
        <w:tc>
          <w:tcPr>
            <w:tcW w:w="1204" w:type="dxa"/>
            <w:vMerge/>
            <w:tcBorders>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p>
        </w:tc>
        <w:tc>
          <w:tcPr>
            <w:tcW w:w="1205" w:type="dxa"/>
            <w:vMerge/>
            <w:tcBorders>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p>
        </w:tc>
        <w:tc>
          <w:tcPr>
            <w:tcW w:w="852" w:type="dxa"/>
            <w:vMerge/>
            <w:tcBorders>
              <w:left w:val="single" w:sz="2" w:space="0" w:color="auto"/>
              <w:right w:val="single" w:sz="2" w:space="0" w:color="auto"/>
            </w:tcBorders>
            <w:vAlign w:val="center"/>
          </w:tcPr>
          <w:p w:rsidR="004D0E3C" w:rsidRDefault="004D0E3C" w:rsidP="0095463F">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2024年08月26日</w:t>
            </w:r>
          </w:p>
        </w:tc>
        <w:tc>
          <w:tcPr>
            <w:tcW w:w="1275" w:type="dxa"/>
            <w:tcBorders>
              <w:top w:val="single" w:sz="2" w:space="0" w:color="auto"/>
              <w:left w:val="single" w:sz="2" w:space="0" w:color="auto"/>
              <w:bottom w:val="single" w:sz="2" w:space="0" w:color="auto"/>
              <w:right w:val="single" w:sz="2" w:space="0" w:color="auto"/>
            </w:tcBorders>
            <w:vAlign w:val="center"/>
          </w:tcPr>
          <w:p w:rsidR="004D0E3C" w:rsidRDefault="001962CD">
            <w:pPr>
              <w:spacing w:line="240" w:lineRule="exact"/>
              <w:rPr>
                <w:rFonts w:ascii="宋体" w:eastAsia="宋体" w:hAnsi="宋体" w:cs="宋体"/>
                <w:sz w:val="18"/>
                <w:szCs w:val="18"/>
              </w:rPr>
            </w:pPr>
            <w:r>
              <w:rPr>
                <w:rFonts w:ascii="宋体" w:eastAsia="宋体" w:hAnsi="宋体" w:cs="宋体" w:hint="eastAsia"/>
                <w:sz w:val="18"/>
                <w:szCs w:val="18"/>
              </w:rPr>
              <w:t>审阅</w:t>
            </w:r>
            <w:proofErr w:type="gramStart"/>
            <w:r w:rsidR="004D0E3C">
              <w:rPr>
                <w:rFonts w:ascii="宋体" w:eastAsia="宋体" w:hAnsi="宋体" w:cs="宋体"/>
                <w:sz w:val="18"/>
                <w:szCs w:val="18"/>
              </w:rPr>
              <w:t>公司风控审计</w:t>
            </w:r>
            <w:proofErr w:type="gramEnd"/>
            <w:r w:rsidR="004D0E3C">
              <w:rPr>
                <w:rFonts w:ascii="宋体" w:eastAsia="宋体" w:hAnsi="宋体" w:cs="宋体"/>
                <w:sz w:val="18"/>
                <w:szCs w:val="18"/>
              </w:rPr>
              <w:t>部关于2024年第二季度内部审计工作的报告，并审议公司2024年半年度报告及半年度报告摘要</w:t>
            </w:r>
          </w:p>
        </w:tc>
        <w:tc>
          <w:tcPr>
            <w:tcW w:w="2127"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1、</w:t>
            </w:r>
            <w:proofErr w:type="gramStart"/>
            <w:r>
              <w:rPr>
                <w:rFonts w:ascii="宋体" w:eastAsia="宋体" w:hAnsi="宋体" w:cs="宋体"/>
                <w:sz w:val="18"/>
                <w:szCs w:val="18"/>
              </w:rPr>
              <w:t>要求风控审计</w:t>
            </w:r>
            <w:proofErr w:type="gramEnd"/>
            <w:r>
              <w:rPr>
                <w:rFonts w:ascii="宋体" w:eastAsia="宋体" w:hAnsi="宋体" w:cs="宋体"/>
                <w:sz w:val="18"/>
                <w:szCs w:val="18"/>
              </w:rPr>
              <w:t>部对于审计过程中发现的问题做好监督整改工作，并持续跟踪反馈。2、一致同意通过了审议的议案，并同意将该议案提交公司第十一届董事会第七次会议审议。</w:t>
            </w:r>
          </w:p>
        </w:tc>
        <w:tc>
          <w:tcPr>
            <w:tcW w:w="850"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r>
      <w:tr w:rsidR="004D0E3C" w:rsidTr="0095463F">
        <w:trPr>
          <w:trHeight w:val="240"/>
        </w:trPr>
        <w:tc>
          <w:tcPr>
            <w:tcW w:w="1204" w:type="dxa"/>
            <w:vMerge/>
            <w:tcBorders>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1205" w:type="dxa"/>
            <w:vMerge/>
            <w:tcBorders>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852" w:type="dxa"/>
            <w:vMerge/>
            <w:tcBorders>
              <w:left w:val="single" w:sz="2" w:space="0" w:color="auto"/>
              <w:bottom w:val="single" w:sz="2" w:space="0" w:color="auto"/>
              <w:right w:val="single" w:sz="2" w:space="0" w:color="auto"/>
            </w:tcBorders>
            <w:vAlign w:val="center"/>
          </w:tcPr>
          <w:p w:rsidR="004D0E3C" w:rsidRDefault="004D0E3C">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2024年10月25日</w:t>
            </w:r>
          </w:p>
        </w:tc>
        <w:tc>
          <w:tcPr>
            <w:tcW w:w="1275" w:type="dxa"/>
            <w:tcBorders>
              <w:top w:val="single" w:sz="2" w:space="0" w:color="auto"/>
              <w:left w:val="single" w:sz="2" w:space="0" w:color="auto"/>
              <w:bottom w:val="single" w:sz="2" w:space="0" w:color="auto"/>
              <w:right w:val="single" w:sz="2" w:space="0" w:color="auto"/>
            </w:tcBorders>
            <w:vAlign w:val="center"/>
          </w:tcPr>
          <w:p w:rsidR="004D0E3C" w:rsidRDefault="001962CD">
            <w:pPr>
              <w:spacing w:line="240" w:lineRule="exact"/>
              <w:rPr>
                <w:rFonts w:ascii="宋体" w:eastAsia="宋体" w:hAnsi="宋体" w:cs="宋体"/>
                <w:sz w:val="18"/>
                <w:szCs w:val="18"/>
              </w:rPr>
            </w:pPr>
            <w:r>
              <w:rPr>
                <w:rFonts w:ascii="宋体" w:eastAsia="宋体" w:hAnsi="宋体" w:cs="宋体" w:hint="eastAsia"/>
                <w:sz w:val="18"/>
                <w:szCs w:val="18"/>
              </w:rPr>
              <w:t>审阅</w:t>
            </w:r>
            <w:proofErr w:type="gramStart"/>
            <w:r w:rsidR="004D0E3C">
              <w:rPr>
                <w:rFonts w:ascii="宋体" w:eastAsia="宋体" w:hAnsi="宋体" w:cs="宋体"/>
                <w:sz w:val="18"/>
                <w:szCs w:val="18"/>
              </w:rPr>
              <w:t>公司风控审计</w:t>
            </w:r>
            <w:proofErr w:type="gramEnd"/>
            <w:r w:rsidR="004D0E3C">
              <w:rPr>
                <w:rFonts w:ascii="宋体" w:eastAsia="宋体" w:hAnsi="宋体" w:cs="宋体"/>
                <w:sz w:val="18"/>
                <w:szCs w:val="18"/>
              </w:rPr>
              <w:t>部关于2024年第三季度内部审计工作的报告，并审议2024年第三季度报告</w:t>
            </w:r>
          </w:p>
        </w:tc>
        <w:tc>
          <w:tcPr>
            <w:tcW w:w="2127"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1、</w:t>
            </w:r>
            <w:proofErr w:type="gramStart"/>
            <w:r>
              <w:rPr>
                <w:rFonts w:ascii="宋体" w:eastAsia="宋体" w:hAnsi="宋体" w:cs="宋体"/>
                <w:sz w:val="18"/>
                <w:szCs w:val="18"/>
              </w:rPr>
              <w:t>要求风控审计</w:t>
            </w:r>
            <w:proofErr w:type="gramEnd"/>
            <w:r>
              <w:rPr>
                <w:rFonts w:ascii="宋体" w:eastAsia="宋体" w:hAnsi="宋体" w:cs="宋体"/>
                <w:sz w:val="18"/>
                <w:szCs w:val="18"/>
              </w:rPr>
              <w:t>部对于审计过程中发现的问题做好监督整改工作，并持续跟踪反馈。2、一致同意通过了审议的议案，并同意将该议案提交公司第十一届董事会第八次会议审议</w:t>
            </w:r>
          </w:p>
        </w:tc>
        <w:tc>
          <w:tcPr>
            <w:tcW w:w="850"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r>
      <w:tr w:rsidR="00A27D66" w:rsidTr="004D0E3C">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提名委员会</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钟刚、杨乃定、李忠</w:t>
            </w:r>
          </w:p>
        </w:tc>
        <w:tc>
          <w:tcPr>
            <w:tcW w:w="85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2024年01月16日</w:t>
            </w:r>
          </w:p>
        </w:tc>
        <w:tc>
          <w:tcPr>
            <w:tcW w:w="127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审议关于建议聘任公司高级管理人员的议案</w:t>
            </w:r>
          </w:p>
        </w:tc>
        <w:tc>
          <w:tcPr>
            <w:tcW w:w="212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建议聘任李忠先生为公司总经理；杨定轶先生、郝宏伟先生、陈波先生为公司副总经理；陈波先生为公司董事会秘书；彭占凯先生为公司财务总监。任期自董事会审议通过之日起至第十一届董事会届满之日止。</w:t>
            </w:r>
          </w:p>
        </w:tc>
        <w:tc>
          <w:tcPr>
            <w:tcW w:w="85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4D0E3C" w:rsidTr="0095463F">
        <w:trPr>
          <w:trHeight w:val="240"/>
        </w:trPr>
        <w:tc>
          <w:tcPr>
            <w:tcW w:w="1204" w:type="dxa"/>
            <w:vMerge w:val="restart"/>
            <w:tcBorders>
              <w:top w:val="single" w:sz="2" w:space="0" w:color="auto"/>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r>
              <w:rPr>
                <w:rFonts w:ascii="宋体" w:eastAsia="宋体" w:hAnsi="宋体" w:cs="宋体"/>
                <w:sz w:val="18"/>
                <w:szCs w:val="18"/>
              </w:rPr>
              <w:t>薪酬与考核委员会</w:t>
            </w:r>
          </w:p>
        </w:tc>
        <w:tc>
          <w:tcPr>
            <w:tcW w:w="1205" w:type="dxa"/>
            <w:vMerge w:val="restart"/>
            <w:tcBorders>
              <w:top w:val="single" w:sz="2" w:space="0" w:color="auto"/>
              <w:left w:val="single" w:sz="2" w:space="0" w:color="auto"/>
              <w:right w:val="single" w:sz="2" w:space="0" w:color="auto"/>
            </w:tcBorders>
            <w:vAlign w:val="center"/>
          </w:tcPr>
          <w:p w:rsidR="004D0E3C" w:rsidRDefault="004D0E3C" w:rsidP="0095463F">
            <w:pPr>
              <w:spacing w:line="240" w:lineRule="exact"/>
              <w:rPr>
                <w:rFonts w:ascii="宋体" w:eastAsia="宋体" w:hAnsi="宋体" w:cs="宋体"/>
                <w:sz w:val="18"/>
                <w:szCs w:val="18"/>
              </w:rPr>
            </w:pPr>
            <w:r>
              <w:rPr>
                <w:rFonts w:ascii="宋体" w:eastAsia="宋体" w:hAnsi="宋体" w:cs="宋体"/>
                <w:sz w:val="18"/>
                <w:szCs w:val="18"/>
              </w:rPr>
              <w:t>杨乃定、廖义刚、李忠</w:t>
            </w:r>
          </w:p>
        </w:tc>
        <w:tc>
          <w:tcPr>
            <w:tcW w:w="852" w:type="dxa"/>
            <w:vMerge w:val="restart"/>
            <w:tcBorders>
              <w:top w:val="single" w:sz="2" w:space="0" w:color="auto"/>
              <w:left w:val="single" w:sz="2" w:space="0" w:color="auto"/>
              <w:right w:val="single" w:sz="2" w:space="0" w:color="auto"/>
            </w:tcBorders>
            <w:vAlign w:val="center"/>
          </w:tcPr>
          <w:p w:rsidR="004D0E3C" w:rsidRDefault="004D0E3C" w:rsidP="004D0E3C">
            <w:pPr>
              <w:spacing w:line="240" w:lineRule="exact"/>
              <w:jc w:val="right"/>
              <w:rPr>
                <w:rFonts w:ascii="宋体" w:eastAsia="宋体" w:hAnsi="宋体" w:cs="宋体"/>
                <w:sz w:val="18"/>
                <w:szCs w:val="18"/>
              </w:rPr>
            </w:pPr>
            <w:r>
              <w:rPr>
                <w:rFonts w:ascii="宋体" w:eastAsia="宋体" w:hAnsi="宋体" w:cs="宋体"/>
                <w:sz w:val="18"/>
                <w:szCs w:val="18"/>
              </w:rPr>
              <w:t>2</w:t>
            </w:r>
          </w:p>
        </w:tc>
        <w:tc>
          <w:tcPr>
            <w:tcW w:w="1134"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2024年04月16日</w:t>
            </w:r>
          </w:p>
        </w:tc>
        <w:tc>
          <w:tcPr>
            <w:tcW w:w="1275"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审议如下议案：1、关于考核发放公司高管人员2023年度薪酬的议案；2、关于制定2024年度经营管理目标</w:t>
            </w:r>
            <w:r>
              <w:rPr>
                <w:rFonts w:ascii="宋体" w:eastAsia="宋体" w:hAnsi="宋体" w:cs="宋体"/>
                <w:sz w:val="18"/>
                <w:szCs w:val="18"/>
              </w:rPr>
              <w:lastRenderedPageBreak/>
              <w:t>及考核方法的议案</w:t>
            </w:r>
          </w:p>
        </w:tc>
        <w:tc>
          <w:tcPr>
            <w:tcW w:w="2127"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lastRenderedPageBreak/>
              <w:t>一致同意通过了审议的议案，并同意将相关议案提交董事会审议。</w:t>
            </w:r>
          </w:p>
        </w:tc>
        <w:tc>
          <w:tcPr>
            <w:tcW w:w="850"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r>
      <w:tr w:rsidR="004D0E3C" w:rsidTr="0095463F">
        <w:trPr>
          <w:trHeight w:val="240"/>
        </w:trPr>
        <w:tc>
          <w:tcPr>
            <w:tcW w:w="1204" w:type="dxa"/>
            <w:vMerge/>
            <w:tcBorders>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1205" w:type="dxa"/>
            <w:vMerge/>
            <w:tcBorders>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852" w:type="dxa"/>
            <w:vMerge/>
            <w:tcBorders>
              <w:left w:val="single" w:sz="2" w:space="0" w:color="auto"/>
              <w:bottom w:val="single" w:sz="2" w:space="0" w:color="auto"/>
              <w:right w:val="single" w:sz="2" w:space="0" w:color="auto"/>
            </w:tcBorders>
            <w:vAlign w:val="center"/>
          </w:tcPr>
          <w:p w:rsidR="004D0E3C" w:rsidRDefault="004D0E3C">
            <w:pPr>
              <w:spacing w:line="24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2024年05月17日</w:t>
            </w:r>
          </w:p>
        </w:tc>
        <w:tc>
          <w:tcPr>
            <w:tcW w:w="1275"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审议关于公司2021年限制性股票激励计划首次授予第三个解除限售期及预留授予第二个解除限售</w:t>
            </w:r>
            <w:proofErr w:type="gramStart"/>
            <w:r>
              <w:rPr>
                <w:rFonts w:ascii="宋体" w:eastAsia="宋体" w:hAnsi="宋体" w:cs="宋体"/>
                <w:sz w:val="18"/>
                <w:szCs w:val="18"/>
              </w:rPr>
              <w:t>期业绩</w:t>
            </w:r>
            <w:proofErr w:type="gramEnd"/>
            <w:r>
              <w:rPr>
                <w:rFonts w:ascii="宋体" w:eastAsia="宋体" w:hAnsi="宋体" w:cs="宋体"/>
                <w:sz w:val="18"/>
                <w:szCs w:val="18"/>
              </w:rPr>
              <w:t>考核结果的议案</w:t>
            </w:r>
          </w:p>
        </w:tc>
        <w:tc>
          <w:tcPr>
            <w:tcW w:w="2127"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r>
              <w:rPr>
                <w:rFonts w:ascii="宋体" w:eastAsia="宋体" w:hAnsi="宋体" w:cs="宋体"/>
                <w:sz w:val="18"/>
                <w:szCs w:val="18"/>
              </w:rPr>
              <w:t>一致同意通过了审议的议案</w:t>
            </w:r>
          </w:p>
        </w:tc>
        <w:tc>
          <w:tcPr>
            <w:tcW w:w="850"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4D0E3C" w:rsidRDefault="004D0E3C">
            <w:pPr>
              <w:spacing w:line="240" w:lineRule="exact"/>
              <w:rPr>
                <w:rFonts w:ascii="宋体" w:eastAsia="宋体" w:hAnsi="宋体" w:cs="宋体"/>
                <w:sz w:val="18"/>
                <w:szCs w:val="18"/>
              </w:rPr>
            </w:pPr>
          </w:p>
        </w:tc>
      </w:tr>
    </w:tbl>
    <w:p w:rsidR="00A27D66" w:rsidRDefault="00A2119D">
      <w:pPr>
        <w:pStyle w:val="2"/>
        <w:spacing w:before="300" w:after="300" w:line="320" w:lineRule="exact"/>
        <w:rPr>
          <w:rFonts w:ascii="宋体" w:eastAsia="宋体" w:hAnsi="宋体" w:cs="宋体"/>
          <w:b/>
          <w:bCs/>
          <w:sz w:val="24"/>
          <w:szCs w:val="24"/>
        </w:rPr>
      </w:pPr>
      <w:bookmarkStart w:id="74" w:name="_Toc988959"/>
      <w:r>
        <w:rPr>
          <w:rFonts w:ascii="宋体" w:eastAsia="宋体" w:hAnsi="宋体" w:cs="宋体"/>
          <w:b/>
          <w:bCs/>
          <w:sz w:val="24"/>
          <w:szCs w:val="24"/>
        </w:rPr>
        <w:t>八、监事会工作情况</w:t>
      </w:r>
      <w:bookmarkEnd w:id="74"/>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监事会在报告期内的监督活动中发现公司是否存在风险</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监事会对报告期内的监督事项无异议。</w:t>
      </w:r>
    </w:p>
    <w:p w:rsidR="00A27D66" w:rsidRDefault="00A2119D">
      <w:pPr>
        <w:pStyle w:val="2"/>
        <w:spacing w:before="300" w:after="300" w:line="320" w:lineRule="exact"/>
        <w:rPr>
          <w:rFonts w:ascii="宋体" w:eastAsia="宋体" w:hAnsi="宋体" w:cs="宋体"/>
          <w:b/>
          <w:bCs/>
          <w:sz w:val="24"/>
          <w:szCs w:val="24"/>
        </w:rPr>
      </w:pPr>
      <w:bookmarkStart w:id="75" w:name="_Toc988960"/>
      <w:r>
        <w:rPr>
          <w:rFonts w:ascii="宋体" w:eastAsia="宋体" w:hAnsi="宋体" w:cs="宋体"/>
          <w:b/>
          <w:bCs/>
          <w:sz w:val="24"/>
          <w:szCs w:val="24"/>
        </w:rPr>
        <w:t>九、公司员工情况</w:t>
      </w:r>
      <w:bookmarkEnd w:id="75"/>
    </w:p>
    <w:p w:rsidR="00A27D66" w:rsidRDefault="00A2119D">
      <w:pPr>
        <w:pStyle w:val="3"/>
        <w:spacing w:line="280" w:lineRule="exact"/>
        <w:jc w:val="left"/>
        <w:rPr>
          <w:rFonts w:ascii="宋体" w:hAnsi="宋体" w:cs="宋体"/>
          <w:b/>
          <w:bCs/>
        </w:rPr>
      </w:pPr>
      <w:bookmarkStart w:id="76" w:name="_Toc988961"/>
      <w:r>
        <w:rPr>
          <w:rFonts w:ascii="宋体" w:hAnsi="宋体" w:cs="宋体"/>
          <w:b/>
          <w:bCs/>
        </w:rPr>
        <w:t>1、员工数量、专业构成及教育程度</w:t>
      </w:r>
      <w:bookmarkEnd w:id="76"/>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报告期末母公司在职员工的数量（人）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报告期末主要子公司在职员工的数量（人）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409</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报告期末在职员工的数量合计（人）</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436</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当期领取薪酬员工总人数（人）</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436</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母公司及主要子公司需承担费用的离退休职工人数（人）</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27D66">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专业构成人数（人）</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生产人员</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125</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销售人员</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技术人员</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180</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财务人员</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行政人员</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职能管理人员</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49</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436</w:t>
            </w:r>
          </w:p>
        </w:tc>
      </w:tr>
      <w:tr w:rsidR="00A27D66">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教育程度</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教育程度类别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数量（人）</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大学本科以上学历</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206</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大专学历</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133</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中专学历</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59</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其他学历</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436</w:t>
            </w:r>
          </w:p>
        </w:tc>
      </w:tr>
    </w:tbl>
    <w:p w:rsidR="00A27D66" w:rsidRPr="005F5C38" w:rsidRDefault="00A2119D" w:rsidP="005F5C38">
      <w:pPr>
        <w:pStyle w:val="3"/>
        <w:spacing w:before="0" w:after="0" w:line="560" w:lineRule="exact"/>
        <w:jc w:val="left"/>
        <w:rPr>
          <w:rFonts w:ascii="宋体" w:hAnsi="宋体" w:cs="宋体"/>
          <w:b/>
          <w:bCs/>
        </w:rPr>
      </w:pPr>
      <w:bookmarkStart w:id="77" w:name="_Toc988962"/>
      <w:r w:rsidRPr="005F5C38">
        <w:rPr>
          <w:rFonts w:ascii="宋体" w:hAnsi="宋体" w:cs="宋体"/>
          <w:b/>
          <w:bCs/>
        </w:rPr>
        <w:lastRenderedPageBreak/>
        <w:t>2、薪酬政策</w:t>
      </w:r>
      <w:bookmarkEnd w:id="77"/>
    </w:p>
    <w:p w:rsidR="00A2119D" w:rsidRPr="005F5C38" w:rsidRDefault="00A2119D" w:rsidP="00003D92">
      <w:pPr>
        <w:pStyle w:val="a3"/>
        <w:spacing w:before="0" w:beforeAutospacing="0" w:after="0" w:afterAutospacing="0" w:line="360" w:lineRule="auto"/>
        <w:ind w:firstLine="561"/>
        <w:jc w:val="both"/>
        <w:divId w:val="794835894"/>
        <w:rPr>
          <w:sz w:val="21"/>
          <w:szCs w:val="21"/>
        </w:rPr>
      </w:pPr>
      <w:r w:rsidRPr="005F5C38">
        <w:rPr>
          <w:rFonts w:hint="eastAsia"/>
          <w:sz w:val="21"/>
          <w:szCs w:val="21"/>
        </w:rPr>
        <w:t>公司秉持公平、公正、激励与竞争力相结合的原则，构建了全面且富有吸引力的薪酬体系，旨在吸引、留住和激励优秀人才，推动公司持续发展。</w:t>
      </w:r>
      <w:proofErr w:type="gramStart"/>
      <w:r w:rsidRPr="005F5C38">
        <w:rPr>
          <w:rFonts w:hint="eastAsia"/>
          <w:sz w:val="21"/>
          <w:szCs w:val="21"/>
        </w:rPr>
        <w:t>公司员工薪酬</w:t>
      </w:r>
      <w:proofErr w:type="gramEnd"/>
      <w:r w:rsidRPr="005F5C38">
        <w:rPr>
          <w:rFonts w:hint="eastAsia"/>
          <w:sz w:val="21"/>
          <w:szCs w:val="21"/>
        </w:rPr>
        <w:t>主要由岗位工资、绩效工资、奖金及福利补贴构成。岗位工资依据岗位价值、市场行情和员工个人能力确定，确保员工基本生活保障与岗位价值的合理体现。绩效工资则紧密挂钩员工的工作表现和业绩目标完成情况，根据季度或年度绩效考核结果发放，充分调动员工工作积极性，激励员工追求卓越绩效。奖金包括年终奖金、项目奖金等，用于表彰在特定时期或项目中做出突出贡献的员工，强化对关键成果和优秀表现的奖励。此外，公司还提供丰富多样的福利补贴，如五险</w:t>
      </w:r>
      <w:proofErr w:type="gramStart"/>
      <w:r w:rsidRPr="005F5C38">
        <w:rPr>
          <w:rFonts w:hint="eastAsia"/>
          <w:sz w:val="21"/>
          <w:szCs w:val="21"/>
        </w:rPr>
        <w:t>一</w:t>
      </w:r>
      <w:proofErr w:type="gramEnd"/>
      <w:r w:rsidRPr="005F5C38">
        <w:rPr>
          <w:rFonts w:hint="eastAsia"/>
          <w:sz w:val="21"/>
          <w:szCs w:val="21"/>
        </w:rPr>
        <w:t>金、带薪年假、节日福利、健康体检、餐饮补贴等，全方位提升员工的工作生活质量与归属感。</w:t>
      </w:r>
    </w:p>
    <w:p w:rsidR="00A27D66" w:rsidRPr="005F5C38" w:rsidRDefault="00A2119D" w:rsidP="005F5C38">
      <w:pPr>
        <w:pStyle w:val="3"/>
        <w:spacing w:before="0" w:after="0" w:line="560" w:lineRule="exact"/>
        <w:jc w:val="left"/>
        <w:rPr>
          <w:rFonts w:ascii="宋体" w:hAnsi="宋体" w:cs="宋体"/>
          <w:b/>
          <w:bCs/>
        </w:rPr>
      </w:pPr>
      <w:bookmarkStart w:id="78" w:name="_Toc988963"/>
      <w:r w:rsidRPr="005F5C38">
        <w:rPr>
          <w:rFonts w:ascii="宋体" w:hAnsi="宋体" w:cs="宋体"/>
          <w:b/>
          <w:bCs/>
        </w:rPr>
        <w:t>3、培训计划</w:t>
      </w:r>
      <w:bookmarkEnd w:id="78"/>
    </w:p>
    <w:p w:rsidR="00A2119D" w:rsidRPr="005F5C38" w:rsidRDefault="00A2119D" w:rsidP="00003D92">
      <w:pPr>
        <w:pStyle w:val="a3"/>
        <w:spacing w:before="0" w:beforeAutospacing="0" w:after="0" w:afterAutospacing="0" w:line="360" w:lineRule="auto"/>
        <w:ind w:firstLine="561"/>
        <w:jc w:val="both"/>
        <w:divId w:val="1410468499"/>
        <w:rPr>
          <w:sz w:val="21"/>
          <w:szCs w:val="21"/>
        </w:rPr>
      </w:pPr>
      <w:r w:rsidRPr="00206303">
        <w:rPr>
          <w:rFonts w:hint="eastAsia"/>
          <w:sz w:val="21"/>
          <w:szCs w:val="21"/>
        </w:rPr>
        <w:t>人才是公司发展的核心动力，公司高度重视员工培训与发展，致力于为员工提供全面、系统且个性化的培训，帮助员工提升专业技能、拓宽职业视野，实现个人与公司的共同成长。公司根据《培训管理制度》，实行分级管理的培训模式。针对新入职员工，公司开展入职培训，帮助新员工快速了解公司，融入团队，明确职业发展方向，为后续工作奠定良好基础。根据不同岗位的技能需求，公司制定个性化的岗位技能培训计划，通过内部培训课程、外部专家讲座、在线学习平台等多种方式，为员工提供专业技能培训，提升员工岗位胜任能力，确保员工能够高效完成工作任务。</w:t>
      </w:r>
    </w:p>
    <w:p w:rsidR="00A27D66" w:rsidRPr="000A1D01" w:rsidRDefault="00A2119D">
      <w:pPr>
        <w:pStyle w:val="3"/>
        <w:spacing w:line="280" w:lineRule="exact"/>
        <w:jc w:val="left"/>
        <w:rPr>
          <w:rFonts w:ascii="宋体" w:hAnsi="宋体" w:cs="宋体"/>
          <w:b/>
          <w:bCs/>
          <w:color w:val="000000" w:themeColor="text1"/>
        </w:rPr>
      </w:pPr>
      <w:bookmarkStart w:id="79" w:name="_Toc988964"/>
      <w:r w:rsidRPr="000A1D01">
        <w:rPr>
          <w:rFonts w:ascii="宋体" w:hAnsi="宋体" w:cs="宋体"/>
          <w:b/>
          <w:bCs/>
          <w:color w:val="000000" w:themeColor="text1"/>
        </w:rPr>
        <w:t>4、劳务外包情况</w:t>
      </w:r>
      <w:bookmarkEnd w:id="79"/>
    </w:p>
    <w:p w:rsidR="00A27D66" w:rsidRPr="000A1D01" w:rsidRDefault="00A2119D">
      <w:pPr>
        <w:spacing w:before="100" w:after="100" w:line="240" w:lineRule="exact"/>
        <w:rPr>
          <w:rFonts w:ascii="宋体" w:eastAsia="宋体" w:hAnsi="宋体" w:cs="宋体"/>
          <w:color w:val="000000" w:themeColor="text1"/>
          <w:sz w:val="18"/>
          <w:szCs w:val="18"/>
        </w:rPr>
      </w:pPr>
      <w:r w:rsidRPr="000A1D01">
        <w:rPr>
          <w:rFonts w:ascii="宋体" w:eastAsia="宋体" w:hAnsi="宋体" w:cs="宋体"/>
          <w:color w:val="000000" w:themeColor="text1"/>
          <w:sz w:val="18"/>
          <w:szCs w:val="18"/>
        </w:rPr>
        <w:t xml:space="preserve">□适用 </w:t>
      </w:r>
      <w:r w:rsidRPr="000A1D01">
        <w:rPr>
          <w:rFonts w:ascii="宋体" w:eastAsia="宋体" w:hAnsi="宋体" w:cs="宋体"/>
          <w:color w:val="000000" w:themeColor="text1"/>
          <w:sz w:val="18"/>
          <w:szCs w:val="18"/>
        </w:rPr>
        <w:sym w:font="Wingdings 2" w:char="F052"/>
      </w:r>
      <w:r w:rsidRPr="000A1D01">
        <w:rPr>
          <w:rFonts w:ascii="宋体" w:eastAsia="宋体" w:hAnsi="宋体" w:cs="宋体"/>
          <w:color w:val="000000" w:themeColor="text1"/>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80" w:name="_Toc988965"/>
      <w:r>
        <w:rPr>
          <w:rFonts w:ascii="宋体" w:eastAsia="宋体" w:hAnsi="宋体" w:cs="宋体"/>
          <w:b/>
          <w:bCs/>
          <w:sz w:val="24"/>
          <w:szCs w:val="24"/>
        </w:rPr>
        <w:t>十、公司利润分配及资本公积金转增股本情况</w:t>
      </w:r>
      <w:bookmarkEnd w:id="80"/>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报告期</w:t>
      </w:r>
      <w:proofErr w:type="gramStart"/>
      <w:r>
        <w:rPr>
          <w:rFonts w:ascii="宋体" w:eastAsia="宋体" w:hAnsi="宋体" w:cs="宋体"/>
          <w:sz w:val="18"/>
          <w:szCs w:val="18"/>
        </w:rPr>
        <w:t>内利润</w:t>
      </w:r>
      <w:proofErr w:type="gramEnd"/>
      <w:r>
        <w:rPr>
          <w:rFonts w:ascii="宋体" w:eastAsia="宋体" w:hAnsi="宋体" w:cs="宋体"/>
          <w:sz w:val="18"/>
          <w:szCs w:val="18"/>
        </w:rPr>
        <w:t>分配政策，特别是现金分红政策的制定、执行或调整情况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5117FD" w:rsidRDefault="00A2119D" w:rsidP="005117FD">
      <w:pPr>
        <w:pStyle w:val="a3"/>
        <w:widowControl w:val="0"/>
        <w:spacing w:before="0" w:beforeAutospacing="0" w:after="0" w:afterAutospacing="0" w:line="360" w:lineRule="auto"/>
        <w:ind w:firstLine="561"/>
        <w:jc w:val="both"/>
        <w:divId w:val="1006709769"/>
        <w:rPr>
          <w:sz w:val="21"/>
          <w:szCs w:val="21"/>
        </w:rPr>
      </w:pPr>
      <w:r w:rsidRPr="005F5C38">
        <w:rPr>
          <w:rFonts w:hint="eastAsia"/>
          <w:sz w:val="21"/>
          <w:szCs w:val="21"/>
        </w:rPr>
        <w:t>为完善和健全公司科学、持续、稳定的分红决策和监督机制，积极回报股东，引导投资者树立长期投资和理性投资理念，结合公司实际情况及未来发展目标，公司制订了《未来三年股东回报规划（2023-2025年）》，充分考虑了公司可持续发展的要求和股东取得合理投资回报的意愿。公司分红政策连续、稳定、客观、合理，有利于更好地保护投资者的利益，有利于实现投资者利益和公司利益的共赢，能充分保护中小投资者的合法权益。</w:t>
      </w:r>
    </w:p>
    <w:p w:rsidR="00A2119D" w:rsidRPr="005F5C38" w:rsidRDefault="00A2119D" w:rsidP="005117FD">
      <w:pPr>
        <w:pStyle w:val="a3"/>
        <w:widowControl w:val="0"/>
        <w:spacing w:before="0" w:beforeAutospacing="0" w:after="0" w:afterAutospacing="0" w:line="360" w:lineRule="auto"/>
        <w:ind w:firstLine="561"/>
        <w:jc w:val="both"/>
        <w:divId w:val="1006709769"/>
        <w:rPr>
          <w:sz w:val="21"/>
          <w:szCs w:val="21"/>
        </w:rPr>
      </w:pPr>
      <w:r w:rsidRPr="005F5C38">
        <w:rPr>
          <w:rFonts w:hint="eastAsia"/>
          <w:sz w:val="21"/>
          <w:szCs w:val="21"/>
        </w:rPr>
        <w:t>报告期内，根据《上市公司监管指引第3号——上市公司现金分红》等法律法规的最新规定，并结合公司的实际情况，公司对《公司章程》中与利润分配相关的部分条款及《分红管理制度》进行修订，</w:t>
      </w:r>
      <w:r w:rsidRPr="005F5C38">
        <w:rPr>
          <w:rFonts w:hint="eastAsia"/>
          <w:sz w:val="21"/>
          <w:szCs w:val="21"/>
        </w:rPr>
        <w:lastRenderedPageBreak/>
        <w:t>进一步完善了利润分配机制，更好地保障股东的合法权益。</w:t>
      </w:r>
    </w:p>
    <w:p w:rsidR="00A2119D" w:rsidRPr="005F5C38" w:rsidRDefault="00A2119D" w:rsidP="00003D92">
      <w:pPr>
        <w:pStyle w:val="a3"/>
        <w:spacing w:before="0" w:beforeAutospacing="0" w:after="0" w:afterAutospacing="0" w:line="360" w:lineRule="auto"/>
        <w:ind w:firstLine="561"/>
        <w:jc w:val="both"/>
        <w:divId w:val="1006709769"/>
        <w:rPr>
          <w:sz w:val="21"/>
          <w:szCs w:val="21"/>
        </w:rPr>
      </w:pPr>
      <w:r w:rsidRPr="005F5C38">
        <w:rPr>
          <w:rFonts w:hint="eastAsia"/>
          <w:sz w:val="21"/>
          <w:szCs w:val="21"/>
        </w:rPr>
        <w:t>公司利润分配政策符合《公司章程》及审议程序的规定，有明确的分红标准和分红比例，利润分配政策调整或变更的条件和程序合</w:t>
      </w:r>
      <w:proofErr w:type="gramStart"/>
      <w:r w:rsidRPr="005F5C38">
        <w:rPr>
          <w:rFonts w:hint="eastAsia"/>
          <w:sz w:val="21"/>
          <w:szCs w:val="21"/>
        </w:rPr>
        <w:t>规</w:t>
      </w:r>
      <w:proofErr w:type="gramEnd"/>
      <w:r w:rsidRPr="005F5C38">
        <w:rPr>
          <w:rFonts w:hint="eastAsia"/>
          <w:sz w:val="21"/>
          <w:szCs w:val="21"/>
        </w:rPr>
        <w:t>透明，充分保护中小投资者的合法权益。公司报告期利润分配预案符合公司章程等的相关规定。</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现金分红政策的专项说明</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是否符合公司章程的规定或股东大会决议的要求：</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分红标准和比例是否明确和清晰：</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相关的决策程序和机制是否完备：</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独立董事是否履职尽责并发挥了应有的作用：</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公司未进行现金分红的，应当披露具体原因，以及下一步为增强投资者回报水平拟采取的举措：</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由于目前公司正处于发展壮大的重要阶段，为顺利实施公司发展战略，需保持必要资金来</w:t>
            </w:r>
            <w:proofErr w:type="gramStart"/>
            <w:r>
              <w:rPr>
                <w:rFonts w:ascii="宋体" w:eastAsia="宋体" w:hAnsi="宋体" w:cs="宋体"/>
                <w:sz w:val="18"/>
                <w:szCs w:val="18"/>
              </w:rPr>
              <w:t>满足平稳</w:t>
            </w:r>
            <w:proofErr w:type="gramEnd"/>
            <w:r>
              <w:rPr>
                <w:rFonts w:ascii="宋体" w:eastAsia="宋体" w:hAnsi="宋体" w:cs="宋体"/>
                <w:sz w:val="18"/>
                <w:szCs w:val="18"/>
              </w:rPr>
              <w:t>运营及产业拓展的资金需求，促进公司持续、稳定、健康发展，更好地维护全体股东的长远利益。公司董事会拟定2024年度</w:t>
            </w:r>
            <w:proofErr w:type="gramStart"/>
            <w:r>
              <w:rPr>
                <w:rFonts w:ascii="宋体" w:eastAsia="宋体" w:hAnsi="宋体" w:cs="宋体"/>
                <w:sz w:val="18"/>
                <w:szCs w:val="18"/>
              </w:rPr>
              <w:t>不</w:t>
            </w:r>
            <w:proofErr w:type="gramEnd"/>
            <w:r>
              <w:rPr>
                <w:rFonts w:ascii="宋体" w:eastAsia="宋体" w:hAnsi="宋体" w:cs="宋体"/>
                <w:sz w:val="18"/>
                <w:szCs w:val="18"/>
              </w:rPr>
              <w:t>派发现金红利，不送红股，不以公积金转增股本。公司将不断提高在行业内的竞争力，推动盈利水平的提升，为投资者创造更大的价值；同时公司将继续秉承为投资者带来长期、持续回报的经营理念，回馈广大投资者。</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中小股东是否有充分表达意见和诉求的机会，其合法权益是否得到了充分保护：</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现金分红政策进行调整或变更的，条件及程序是否合</w:t>
            </w:r>
            <w:proofErr w:type="gramStart"/>
            <w:r>
              <w:rPr>
                <w:rFonts w:ascii="宋体" w:eastAsia="宋体" w:hAnsi="宋体" w:cs="宋体"/>
                <w:sz w:val="18"/>
                <w:szCs w:val="18"/>
              </w:rPr>
              <w:t>规</w:t>
            </w:r>
            <w:proofErr w:type="gramEnd"/>
            <w:r>
              <w:rPr>
                <w:rFonts w:ascii="宋体" w:eastAsia="宋体" w:hAnsi="宋体" w:cs="宋体"/>
                <w:sz w:val="18"/>
                <w:szCs w:val="18"/>
              </w:rPr>
              <w:t>、透明：</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报告期内，公司现金分红政策未调整。</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公司报告期内</w:t>
      </w:r>
      <w:proofErr w:type="gramStart"/>
      <w:r>
        <w:rPr>
          <w:rFonts w:ascii="宋体" w:eastAsia="宋体" w:hAnsi="宋体" w:cs="宋体"/>
          <w:sz w:val="18"/>
          <w:szCs w:val="18"/>
        </w:rPr>
        <w:t>盈利且母公司</w:t>
      </w:r>
      <w:proofErr w:type="gramEnd"/>
      <w:r>
        <w:rPr>
          <w:rFonts w:ascii="宋体" w:eastAsia="宋体" w:hAnsi="宋体" w:cs="宋体"/>
          <w:sz w:val="18"/>
          <w:szCs w:val="18"/>
        </w:rPr>
        <w:t>可供股东分配利润</w:t>
      </w:r>
      <w:proofErr w:type="gramStart"/>
      <w:r>
        <w:rPr>
          <w:rFonts w:ascii="宋体" w:eastAsia="宋体" w:hAnsi="宋体" w:cs="宋体"/>
          <w:sz w:val="18"/>
          <w:szCs w:val="18"/>
        </w:rPr>
        <w:t>为正但未</w:t>
      </w:r>
      <w:proofErr w:type="gramEnd"/>
      <w:r>
        <w:rPr>
          <w:rFonts w:ascii="宋体" w:eastAsia="宋体" w:hAnsi="宋体" w:cs="宋体"/>
          <w:sz w:val="18"/>
          <w:szCs w:val="18"/>
        </w:rPr>
        <w:t>提出现金红利分配预案</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w:t>
            </w:r>
            <w:proofErr w:type="gramStart"/>
            <w:r>
              <w:rPr>
                <w:rFonts w:ascii="宋体" w:eastAsia="宋体" w:hAnsi="宋体" w:cs="宋体"/>
                <w:sz w:val="18"/>
                <w:szCs w:val="18"/>
              </w:rPr>
              <w:t>盈利且母公司</w:t>
            </w:r>
            <w:proofErr w:type="gramEnd"/>
            <w:r>
              <w:rPr>
                <w:rFonts w:ascii="宋体" w:eastAsia="宋体" w:hAnsi="宋体" w:cs="宋体"/>
                <w:sz w:val="18"/>
                <w:szCs w:val="18"/>
              </w:rPr>
              <w:t>可供股东分配利润</w:t>
            </w:r>
            <w:proofErr w:type="gramStart"/>
            <w:r>
              <w:rPr>
                <w:rFonts w:ascii="宋体" w:eastAsia="宋体" w:hAnsi="宋体" w:cs="宋体"/>
                <w:sz w:val="18"/>
                <w:szCs w:val="18"/>
              </w:rPr>
              <w:t>为正但未</w:t>
            </w:r>
            <w:proofErr w:type="gramEnd"/>
            <w:r>
              <w:rPr>
                <w:rFonts w:ascii="宋体" w:eastAsia="宋体" w:hAnsi="宋体" w:cs="宋体"/>
                <w:sz w:val="18"/>
                <w:szCs w:val="18"/>
              </w:rPr>
              <w:t>提出现金红利分配预案的原因</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公司未分配利润的用途和使用计划</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近年来，公司坚持内生式增长与外延式并购并举的发展战略。内生式增长方面，公司通过持续研发投入、加大市场开拓力度等措施不断提升产品技术竞争力及品牌影响力，为公司长远发展奠定基础；外延式并购方面，公司积极开展相关行业的研究，并持续寻找合适的整合机会，完善军工产业布局。产品研发和市场开拓需要较大的流动资金投入；同时，留存未分配利润也可以为公司未来的外延式并购提供更多可能。因此，公司董事会综合考虑公司经营情况、战略规划、资金供给及需求状况等因素，拟定2024年度</w:t>
            </w:r>
            <w:proofErr w:type="gramStart"/>
            <w:r>
              <w:rPr>
                <w:rFonts w:ascii="宋体" w:eastAsia="宋体" w:hAnsi="宋体" w:cs="宋体"/>
                <w:sz w:val="18"/>
                <w:szCs w:val="18"/>
              </w:rPr>
              <w:t>不</w:t>
            </w:r>
            <w:proofErr w:type="gramEnd"/>
            <w:r>
              <w:rPr>
                <w:rFonts w:ascii="宋体" w:eastAsia="宋体" w:hAnsi="宋体" w:cs="宋体"/>
                <w:sz w:val="18"/>
                <w:szCs w:val="18"/>
              </w:rPr>
              <w:t>派发现金红利，不送红股，不以公积金转增股本。</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公司留存未分配利润累积结转至下一年度，将用于满足公司日常经营发展、对外投资及流动资金需要等</w:t>
            </w:r>
            <w:r w:rsidR="00503DE7">
              <w:rPr>
                <w:rFonts w:ascii="宋体" w:eastAsia="宋体" w:hAnsi="宋体" w:cs="宋体" w:hint="eastAsia"/>
                <w:sz w:val="18"/>
                <w:szCs w:val="18"/>
              </w:rPr>
              <w:t>方面</w:t>
            </w:r>
            <w:r>
              <w:rPr>
                <w:rFonts w:ascii="宋体" w:eastAsia="宋体" w:hAnsi="宋体" w:cs="宋体"/>
                <w:sz w:val="18"/>
                <w:szCs w:val="18"/>
              </w:rPr>
              <w:t>，保障公司正常生产经营和稳定发展，增强抵御风险的能力，进一步提升公司核心竞争力。</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本报告期利润分配及资本公积金转增股本情况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公司计划年度</w:t>
      </w:r>
      <w:proofErr w:type="gramStart"/>
      <w:r>
        <w:rPr>
          <w:rFonts w:ascii="宋体" w:eastAsia="宋体" w:hAnsi="宋体" w:cs="宋体"/>
          <w:sz w:val="18"/>
          <w:szCs w:val="18"/>
        </w:rPr>
        <w:t>不</w:t>
      </w:r>
      <w:proofErr w:type="gramEnd"/>
      <w:r>
        <w:rPr>
          <w:rFonts w:ascii="宋体" w:eastAsia="宋体" w:hAnsi="宋体" w:cs="宋体"/>
          <w:sz w:val="18"/>
          <w:szCs w:val="18"/>
        </w:rPr>
        <w:t>派发现金红利，不送红股，不以公积金转增股本。</w:t>
      </w:r>
    </w:p>
    <w:p w:rsidR="00A27D66" w:rsidRDefault="00A2119D">
      <w:pPr>
        <w:pStyle w:val="2"/>
        <w:spacing w:before="300" w:after="300" w:line="320" w:lineRule="exact"/>
        <w:rPr>
          <w:rFonts w:ascii="宋体" w:eastAsia="宋体" w:hAnsi="宋体" w:cs="宋体"/>
          <w:b/>
          <w:bCs/>
          <w:sz w:val="24"/>
          <w:szCs w:val="24"/>
        </w:rPr>
      </w:pPr>
      <w:bookmarkStart w:id="81" w:name="_Toc988966"/>
      <w:r>
        <w:rPr>
          <w:rFonts w:ascii="宋体" w:eastAsia="宋体" w:hAnsi="宋体" w:cs="宋体"/>
          <w:b/>
          <w:bCs/>
          <w:sz w:val="24"/>
          <w:szCs w:val="24"/>
        </w:rPr>
        <w:t>十一、公司股权激励计划、员工持股计划或其他员工激励措施的实施情况</w:t>
      </w:r>
      <w:bookmarkEnd w:id="81"/>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31BA6" w:rsidRDefault="00A2119D" w:rsidP="00831BA6">
      <w:pPr>
        <w:pStyle w:val="3"/>
        <w:spacing w:before="0" w:after="0" w:line="560" w:lineRule="exact"/>
        <w:jc w:val="left"/>
        <w:rPr>
          <w:rFonts w:ascii="宋体" w:hAnsi="宋体" w:cs="宋体"/>
          <w:b/>
          <w:bCs/>
        </w:rPr>
      </w:pPr>
      <w:bookmarkStart w:id="82" w:name="_Toc988967"/>
      <w:r>
        <w:rPr>
          <w:rFonts w:ascii="宋体" w:hAnsi="宋体" w:cs="宋体"/>
          <w:b/>
          <w:bCs/>
        </w:rPr>
        <w:t>1、股权激励</w:t>
      </w:r>
      <w:bookmarkEnd w:id="82"/>
    </w:p>
    <w:p w:rsidR="00A2119D" w:rsidRPr="00831BA6" w:rsidRDefault="00A2119D" w:rsidP="00003D92">
      <w:pPr>
        <w:pStyle w:val="a3"/>
        <w:spacing w:before="0" w:beforeAutospacing="0" w:after="0" w:afterAutospacing="0" w:line="360" w:lineRule="auto"/>
        <w:ind w:firstLine="561"/>
        <w:jc w:val="both"/>
        <w:rPr>
          <w:color w:val="000000"/>
          <w:sz w:val="21"/>
          <w:szCs w:val="21"/>
        </w:rPr>
      </w:pPr>
      <w:r w:rsidRPr="004E0016">
        <w:rPr>
          <w:rFonts w:hint="eastAsia"/>
          <w:color w:val="000000"/>
          <w:sz w:val="21"/>
          <w:szCs w:val="21"/>
        </w:rPr>
        <w:t>根据《上市公司股权激励管理办法》及公司《2021年限制性股票激励计划（草案）》的相关规定，鉴于公司2021年限制性股票激励计划首次授予第三个解除限售期及预留授予第二个解除限售期的解除限</w:t>
      </w:r>
      <w:r w:rsidRPr="004E0016">
        <w:rPr>
          <w:rFonts w:hint="eastAsia"/>
          <w:color w:val="000000"/>
          <w:sz w:val="21"/>
          <w:szCs w:val="21"/>
        </w:rPr>
        <w:lastRenderedPageBreak/>
        <w:t>售条件均未成就，同时首次授予及预留授予激励对象中有6人因个人原因离职，不再具备激励资格，公司于2024年8月16日办理完成前述67名激励对象</w:t>
      </w:r>
      <w:proofErr w:type="gramStart"/>
      <w:r w:rsidRPr="004E0016">
        <w:rPr>
          <w:rFonts w:hint="eastAsia"/>
          <w:color w:val="000000"/>
          <w:sz w:val="21"/>
          <w:szCs w:val="21"/>
        </w:rPr>
        <w:t>已获授但尚未</w:t>
      </w:r>
      <w:proofErr w:type="gramEnd"/>
      <w:r w:rsidRPr="004E0016">
        <w:rPr>
          <w:rFonts w:hint="eastAsia"/>
          <w:color w:val="000000"/>
          <w:sz w:val="21"/>
          <w:szCs w:val="21"/>
        </w:rPr>
        <w:t>解除限售的限制性股票共计173.1058万股的回购注销事宜（占公司2021年限制性股票激励计划授予总量的39.44%，占回购前公司总股本的0.40%）。详情请参阅公司于2024年8月20日在《中国证券报》《证券时报》《证券日报》《上海证券报》及巨潮资讯网（</w:t>
      </w:r>
      <w:r w:rsidRPr="00831BA6">
        <w:rPr>
          <w:rFonts w:hint="eastAsia"/>
          <w:color w:val="000000"/>
          <w:sz w:val="21"/>
          <w:szCs w:val="21"/>
        </w:rPr>
        <w:t>http://www.cninfo.com.cn</w:t>
      </w:r>
      <w:r w:rsidRPr="004E0016">
        <w:rPr>
          <w:rFonts w:hint="eastAsia"/>
          <w:color w:val="000000"/>
          <w:sz w:val="21"/>
          <w:szCs w:val="21"/>
        </w:rPr>
        <w:t>）披露的《关于部分限制性股票回购注销完成的公告》（2024-48）。</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公司董事、高级管理人员获得的股权激励情况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高级管理人员的考评机制及激励情况</w:t>
      </w:r>
    </w:p>
    <w:p w:rsidR="00A2119D" w:rsidRPr="00003D92" w:rsidRDefault="00A2119D" w:rsidP="00003D92">
      <w:pPr>
        <w:pStyle w:val="a3"/>
        <w:spacing w:before="0" w:beforeAutospacing="0" w:after="0" w:afterAutospacing="0" w:line="360" w:lineRule="auto"/>
        <w:ind w:firstLine="561"/>
        <w:jc w:val="both"/>
        <w:divId w:val="2095934563"/>
        <w:rPr>
          <w:color w:val="000000"/>
          <w:sz w:val="21"/>
          <w:szCs w:val="21"/>
        </w:rPr>
      </w:pPr>
      <w:r w:rsidRPr="004E0016">
        <w:rPr>
          <w:rFonts w:hint="eastAsia"/>
          <w:color w:val="000000"/>
          <w:sz w:val="21"/>
          <w:szCs w:val="21"/>
        </w:rPr>
        <w:t>公司高级管理人员全部由董事会聘任，高级管理人员的聘任公开、透明，符合法律法规的规定。公司已建立高级管理人员的薪酬与公司绩效和个人业绩挂钩的激励约束机制，实行年度绩效考核，由董事会薪酬与考核委员会根据年度生产经营目标及重点工作完成情况，公司高级管理人员分管工作范围及主要职责，按照绩效评价标准和相应程序，对公司高级管理人员的工作业绩和履行职责情况进行综合考核和审查，核定发放绩效薪酬的标准。报告期内，公司经营层全力贯彻落实年度经营计划和发展目标，较好地完成了各项工作，董事会薪酬与考核委员会已对各高级管理人员在2024年度的履职情况进行了年度绩效考核，并形成具体方案提交董事会审议。公司将继续完善和探索更为有效的激励与约束机制，以进一步调动董事、监事和高级管理人员的积极性与创造性，促进公司持续健康发展。</w:t>
      </w:r>
    </w:p>
    <w:p w:rsidR="00A27D66" w:rsidRDefault="00A2119D">
      <w:pPr>
        <w:pStyle w:val="3"/>
        <w:spacing w:line="280" w:lineRule="exact"/>
        <w:jc w:val="left"/>
        <w:rPr>
          <w:rFonts w:ascii="宋体" w:hAnsi="宋体" w:cs="宋体"/>
          <w:b/>
          <w:bCs/>
        </w:rPr>
      </w:pPr>
      <w:bookmarkStart w:id="83" w:name="_Toc988968"/>
      <w:r>
        <w:rPr>
          <w:rFonts w:ascii="宋体" w:hAnsi="宋体" w:cs="宋体"/>
          <w:b/>
          <w:bCs/>
        </w:rPr>
        <w:t>2、员工持股计划的实施情况</w:t>
      </w:r>
      <w:bookmarkEnd w:id="83"/>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84" w:name="_Toc988969"/>
      <w:r>
        <w:rPr>
          <w:rFonts w:ascii="宋体" w:hAnsi="宋体" w:cs="宋体"/>
          <w:b/>
          <w:bCs/>
        </w:rPr>
        <w:t>3、其他员工激励措施</w:t>
      </w:r>
      <w:bookmarkEnd w:id="84"/>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85" w:name="_Toc988970"/>
      <w:r>
        <w:rPr>
          <w:rFonts w:ascii="宋体" w:eastAsia="宋体" w:hAnsi="宋体" w:cs="宋体"/>
          <w:b/>
          <w:bCs/>
          <w:sz w:val="24"/>
          <w:szCs w:val="24"/>
        </w:rPr>
        <w:t>十二、报告期内的内部控制制度建设及实施情况</w:t>
      </w:r>
      <w:bookmarkEnd w:id="85"/>
    </w:p>
    <w:p w:rsidR="00A27D66" w:rsidRDefault="00A2119D" w:rsidP="004E0016">
      <w:pPr>
        <w:pStyle w:val="3"/>
        <w:spacing w:before="0" w:after="0" w:line="560" w:lineRule="exact"/>
        <w:jc w:val="left"/>
        <w:rPr>
          <w:rFonts w:ascii="宋体" w:hAnsi="宋体" w:cs="宋体"/>
          <w:b/>
          <w:bCs/>
        </w:rPr>
      </w:pPr>
      <w:bookmarkStart w:id="86" w:name="_Toc988971"/>
      <w:r>
        <w:rPr>
          <w:rFonts w:ascii="宋体" w:hAnsi="宋体" w:cs="宋体"/>
          <w:b/>
          <w:bCs/>
        </w:rPr>
        <w:t>1、内部控制建设及实施情况</w:t>
      </w:r>
      <w:bookmarkEnd w:id="86"/>
    </w:p>
    <w:p w:rsidR="00A2119D" w:rsidRPr="00003D92" w:rsidRDefault="00A2119D" w:rsidP="00003D92">
      <w:pPr>
        <w:pStyle w:val="a3"/>
        <w:spacing w:before="0" w:beforeAutospacing="0" w:after="0" w:afterAutospacing="0" w:line="360" w:lineRule="auto"/>
        <w:ind w:firstLine="561"/>
        <w:jc w:val="both"/>
        <w:divId w:val="1099377510"/>
        <w:rPr>
          <w:color w:val="000000"/>
          <w:sz w:val="21"/>
          <w:szCs w:val="21"/>
        </w:rPr>
      </w:pPr>
      <w:r w:rsidRPr="004E0016">
        <w:rPr>
          <w:rFonts w:hint="eastAsia"/>
          <w:color w:val="000000"/>
          <w:sz w:val="21"/>
          <w:szCs w:val="21"/>
        </w:rPr>
        <w:t>报告期内，公司按照《企业内部控制基本规范》《企业内部控制应用指引》等相关规定，持续优化内部控制体系，强化制度执行力度，确保内部控制有效实施，为公司稳健发展提供坚实保障。公司明确股东大会、董事会、监事会以及管理层的职责权限，形成了权力制衡、决策科学、执行有力的治理机制。公司通过内部审计部门定期对公司内部控制制度的执行情况进行检查和评价。内部审计部门在审计过程</w:t>
      </w:r>
      <w:r w:rsidRPr="004E0016">
        <w:rPr>
          <w:rFonts w:hint="eastAsia"/>
          <w:color w:val="000000"/>
          <w:sz w:val="21"/>
          <w:szCs w:val="21"/>
        </w:rPr>
        <w:lastRenderedPageBreak/>
        <w:t>中，重点关注内部控制制度的执行有效性、财务收支的真实性和合法性、重大项目的决策和执行情况等；对发现的内部控制缺陷，及时提出整改建议，并跟踪整改落实情况，确保内部控制制度得到有效执行。</w:t>
      </w:r>
    </w:p>
    <w:p w:rsidR="00A2119D" w:rsidRPr="00003D92" w:rsidRDefault="00A2119D" w:rsidP="00003D92">
      <w:pPr>
        <w:pStyle w:val="a3"/>
        <w:spacing w:before="0" w:beforeAutospacing="0" w:after="0" w:afterAutospacing="0" w:line="360" w:lineRule="auto"/>
        <w:ind w:firstLine="561"/>
        <w:jc w:val="both"/>
        <w:divId w:val="1099377510"/>
        <w:rPr>
          <w:color w:val="000000"/>
          <w:sz w:val="21"/>
          <w:szCs w:val="21"/>
        </w:rPr>
      </w:pPr>
      <w:r w:rsidRPr="004E0016">
        <w:rPr>
          <w:rFonts w:hint="eastAsia"/>
          <w:color w:val="000000"/>
          <w:sz w:val="21"/>
          <w:szCs w:val="21"/>
        </w:rPr>
        <w:t>报告期内，根据最新政策、监管要求及发展现状，公司制定了《会计师事务所选聘制度</w:t>
      </w:r>
      <w:r w:rsidRPr="00003D92">
        <w:rPr>
          <w:rFonts w:hint="eastAsia"/>
          <w:color w:val="000000"/>
          <w:sz w:val="21"/>
          <w:szCs w:val="21"/>
        </w:rPr>
        <w:t>》，修订了《公司章程》《分红管理制度》及《董事、监事、高级管理人员持股及变动管理制度》等规章制度，进一步完善了内部控制制度的建设。公司内部控制制度健全且有效实施，未发现重大内部控制缺陷。公司将持续关注内部控制的有效性，根据公司发展战略和内外部环境变化，不断优化内部控制体系，提高公司风险管理水平，促进公司持续、健康、稳定发展。</w:t>
      </w:r>
    </w:p>
    <w:p w:rsidR="00A27D66" w:rsidRDefault="00A2119D">
      <w:pPr>
        <w:pStyle w:val="3"/>
        <w:spacing w:line="280" w:lineRule="exact"/>
        <w:jc w:val="left"/>
        <w:rPr>
          <w:rFonts w:ascii="宋体" w:hAnsi="宋体" w:cs="宋体"/>
          <w:b/>
          <w:bCs/>
        </w:rPr>
      </w:pPr>
      <w:bookmarkStart w:id="87" w:name="_Toc988972"/>
      <w:r>
        <w:rPr>
          <w:rFonts w:ascii="宋体" w:hAnsi="宋体" w:cs="宋体"/>
          <w:b/>
          <w:bCs/>
        </w:rPr>
        <w:t>2、报告期内发现的内部控制重大缺陷的具体情况</w:t>
      </w:r>
      <w:bookmarkEnd w:id="87"/>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pStyle w:val="2"/>
        <w:spacing w:before="300" w:after="300" w:line="320" w:lineRule="exact"/>
        <w:rPr>
          <w:rFonts w:ascii="宋体" w:eastAsia="宋体" w:hAnsi="宋体" w:cs="宋体"/>
          <w:b/>
          <w:bCs/>
          <w:sz w:val="24"/>
          <w:szCs w:val="24"/>
        </w:rPr>
      </w:pPr>
      <w:bookmarkStart w:id="88" w:name="_Toc988973"/>
      <w:r>
        <w:rPr>
          <w:rFonts w:ascii="宋体" w:eastAsia="宋体" w:hAnsi="宋体" w:cs="宋体"/>
          <w:b/>
          <w:bCs/>
          <w:sz w:val="24"/>
          <w:szCs w:val="24"/>
        </w:rPr>
        <w:t>十三、公司报告期内对子公司的管理控制情况</w:t>
      </w:r>
      <w:bookmarkEnd w:id="88"/>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整合计划</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整合进展</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整合中遇到的问题</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已采取的解决措施</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解决进展</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后续解决计划</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沈阳含能</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沈阳非晶</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升华电源</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四川甘华</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r>
    </w:tbl>
    <w:p w:rsidR="00A27D66" w:rsidRDefault="00A2119D">
      <w:pPr>
        <w:pStyle w:val="2"/>
        <w:spacing w:before="300" w:after="300" w:line="320" w:lineRule="exact"/>
        <w:rPr>
          <w:rFonts w:ascii="宋体" w:eastAsia="宋体" w:hAnsi="宋体" w:cs="宋体"/>
          <w:b/>
          <w:bCs/>
          <w:sz w:val="24"/>
          <w:szCs w:val="24"/>
        </w:rPr>
      </w:pPr>
      <w:bookmarkStart w:id="89" w:name="_Toc988974"/>
      <w:r>
        <w:rPr>
          <w:rFonts w:ascii="宋体" w:eastAsia="宋体" w:hAnsi="宋体" w:cs="宋体"/>
          <w:b/>
          <w:bCs/>
          <w:sz w:val="24"/>
          <w:szCs w:val="24"/>
        </w:rPr>
        <w:t>十四、内部控制评价报告或内部控制审计报告</w:t>
      </w:r>
      <w:bookmarkEnd w:id="89"/>
    </w:p>
    <w:p w:rsidR="00A27D66" w:rsidRDefault="00A2119D">
      <w:pPr>
        <w:pStyle w:val="3"/>
        <w:spacing w:line="280" w:lineRule="exact"/>
        <w:jc w:val="left"/>
        <w:rPr>
          <w:rFonts w:ascii="宋体" w:hAnsi="宋体" w:cs="宋体"/>
          <w:b/>
          <w:bCs/>
        </w:rPr>
      </w:pPr>
      <w:bookmarkStart w:id="90" w:name="_Toc988975"/>
      <w:r>
        <w:rPr>
          <w:rFonts w:ascii="宋体" w:hAnsi="宋体" w:cs="宋体"/>
          <w:b/>
          <w:bCs/>
        </w:rPr>
        <w:t>1、内控评价报告</w:t>
      </w:r>
      <w:bookmarkEnd w:id="90"/>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内部控制评价报告全文披露日期</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2025年04月19日</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内部控制评价报告全文披露索引</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详见公司2025年4月19日在巨潮资讯网（http://www.cninfo.com.cn）上披露的《广东甘化科工股份有限公司2024年度内部控制评价报告》</w:t>
            </w:r>
          </w:p>
        </w:tc>
      </w:tr>
      <w:tr w:rsidR="004E0016" w:rsidRPr="00C213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4E0016" w:rsidRPr="00C21327" w:rsidRDefault="004E0016" w:rsidP="004E0016">
            <w:pPr>
              <w:spacing w:line="320" w:lineRule="exact"/>
              <w:rPr>
                <w:rFonts w:ascii="宋体" w:eastAsia="宋体" w:hAnsi="宋体" w:cs="宋体"/>
                <w:sz w:val="18"/>
                <w:szCs w:val="18"/>
              </w:rPr>
            </w:pPr>
            <w:r w:rsidRPr="00C21327">
              <w:rPr>
                <w:rFonts w:ascii="宋体" w:eastAsia="宋体" w:hAnsi="宋体" w:cs="宋体"/>
                <w:sz w:val="18"/>
                <w:szCs w:val="18"/>
              </w:rPr>
              <w:t>纳入评价范围单位资产总额占公司合并财务报表资产总额的比例</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4E0016" w:rsidRPr="00C21327" w:rsidRDefault="00C21327" w:rsidP="004E0016">
            <w:pPr>
              <w:spacing w:line="240" w:lineRule="exact"/>
              <w:jc w:val="right"/>
              <w:rPr>
                <w:rFonts w:ascii="宋体" w:eastAsia="宋体" w:hAnsi="宋体" w:cs="宋体"/>
                <w:sz w:val="18"/>
                <w:szCs w:val="18"/>
              </w:rPr>
            </w:pPr>
            <w:r w:rsidRPr="00C21327">
              <w:rPr>
                <w:rFonts w:ascii="宋体" w:eastAsia="宋体" w:hAnsi="宋体" w:cs="宋体"/>
                <w:sz w:val="18"/>
                <w:szCs w:val="18"/>
              </w:rPr>
              <w:t>9</w:t>
            </w:r>
            <w:r w:rsidRPr="00C21327">
              <w:rPr>
                <w:rFonts w:ascii="宋体" w:eastAsia="宋体" w:hAnsi="宋体" w:cs="宋体" w:hint="eastAsia"/>
                <w:sz w:val="18"/>
                <w:szCs w:val="18"/>
              </w:rPr>
              <w:t>6</w:t>
            </w:r>
            <w:r w:rsidRPr="00C21327">
              <w:rPr>
                <w:rFonts w:ascii="宋体" w:eastAsia="宋体" w:hAnsi="宋体" w:cs="宋体"/>
                <w:sz w:val="18"/>
                <w:szCs w:val="18"/>
              </w:rPr>
              <w:t>.</w:t>
            </w:r>
            <w:r w:rsidRPr="00C21327">
              <w:rPr>
                <w:rFonts w:ascii="宋体" w:eastAsia="宋体" w:hAnsi="宋体" w:cs="宋体" w:hint="eastAsia"/>
                <w:sz w:val="18"/>
                <w:szCs w:val="18"/>
              </w:rPr>
              <w:t>15</w:t>
            </w:r>
            <w:r w:rsidRPr="00C21327">
              <w:rPr>
                <w:rFonts w:ascii="宋体" w:eastAsia="宋体" w:hAnsi="宋体" w:cs="宋体"/>
                <w:sz w:val="18"/>
                <w:szCs w:val="18"/>
              </w:rPr>
              <w:t>%</w:t>
            </w:r>
          </w:p>
        </w:tc>
      </w:tr>
      <w:tr w:rsidR="004E0016" w:rsidRPr="00C2132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4E0016" w:rsidRPr="00C21327" w:rsidRDefault="004E0016" w:rsidP="004E0016">
            <w:pPr>
              <w:spacing w:line="320" w:lineRule="exact"/>
              <w:rPr>
                <w:rFonts w:ascii="宋体" w:eastAsia="宋体" w:hAnsi="宋体" w:cs="宋体"/>
                <w:sz w:val="18"/>
                <w:szCs w:val="18"/>
              </w:rPr>
            </w:pPr>
            <w:r w:rsidRPr="00C21327">
              <w:rPr>
                <w:rFonts w:ascii="宋体" w:eastAsia="宋体" w:hAnsi="宋体" w:cs="宋体"/>
                <w:sz w:val="18"/>
                <w:szCs w:val="18"/>
              </w:rPr>
              <w:t>纳入评价范围单位营业收入占公司合并财务报表营业收入的比例</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4E0016" w:rsidRPr="00C21327" w:rsidRDefault="00C21327" w:rsidP="004E0016">
            <w:pPr>
              <w:spacing w:line="240" w:lineRule="exact"/>
              <w:jc w:val="right"/>
              <w:rPr>
                <w:rFonts w:ascii="宋体" w:eastAsia="宋体" w:hAnsi="宋体" w:cs="宋体"/>
                <w:sz w:val="18"/>
                <w:szCs w:val="18"/>
              </w:rPr>
            </w:pPr>
            <w:r w:rsidRPr="00C21327">
              <w:rPr>
                <w:rFonts w:ascii="宋体" w:eastAsia="宋体" w:hAnsi="宋体" w:cs="宋体" w:hint="eastAsia"/>
                <w:sz w:val="18"/>
                <w:szCs w:val="18"/>
              </w:rPr>
              <w:t>100%</w:t>
            </w:r>
          </w:p>
        </w:tc>
      </w:tr>
      <w:tr w:rsidR="00A27D66">
        <w:trPr>
          <w:trHeight w:val="240"/>
        </w:trPr>
        <w:tc>
          <w:tcPr>
            <w:tcW w:w="963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缺陷认定标准</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财务报告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非财务报告</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定性标准</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财务报告重大缺陷的迹象包括：公司董事、监事和高级管理人员的舞弊行为；公司更正已公布的财务报告；注册会计师发现的却未被公司内部控制识别的当期财务报告中的重大错报；审计委员会和审计部对公司的对外财务报告和财务报告内部控制监督无效。财务报告重要缺陷的迹象包括：未依照公认会计准则选择和应用会计政策；未建立反舞弊程序和控制措施；对于非常规或特殊交易的账务处</w:t>
            </w:r>
            <w:r>
              <w:rPr>
                <w:rFonts w:ascii="宋体" w:eastAsia="宋体" w:hAnsi="宋体" w:cs="宋体"/>
                <w:sz w:val="18"/>
                <w:szCs w:val="18"/>
              </w:rPr>
              <w:lastRenderedPageBreak/>
              <w:t>理没有建立相应的控制机制或没有实施且没有相应的补偿性控制；对于期末财务报告过程的控制存在一项或多项缺陷且不能合理保证编制的财务报表达到真实、准确的目标。一般缺陷是指除上述重大缺陷、重要缺陷之外的其他控制缺陷。</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1E0FBB">
            <w:pPr>
              <w:spacing w:line="240" w:lineRule="exact"/>
              <w:rPr>
                <w:rFonts w:ascii="宋体" w:eastAsia="宋体" w:hAnsi="宋体" w:cs="宋体"/>
                <w:sz w:val="18"/>
                <w:szCs w:val="18"/>
              </w:rPr>
            </w:pPr>
            <w:r>
              <w:rPr>
                <w:rFonts w:ascii="宋体" w:eastAsia="宋体" w:hAnsi="宋体" w:cs="宋体"/>
                <w:sz w:val="18"/>
                <w:szCs w:val="18"/>
              </w:rPr>
              <w:lastRenderedPageBreak/>
              <w:t>非财务报告重大缺陷的存在的迹象包括：</w:t>
            </w:r>
            <w:r>
              <w:rPr>
                <w:rFonts w:ascii="宋体" w:eastAsia="宋体" w:hAnsi="宋体" w:cs="宋体" w:hint="eastAsia"/>
                <w:sz w:val="18"/>
                <w:szCs w:val="18"/>
              </w:rPr>
              <w:t>违反</w:t>
            </w:r>
            <w:r w:rsidR="00A2119D">
              <w:rPr>
                <w:rFonts w:ascii="宋体" w:eastAsia="宋体" w:hAnsi="宋体" w:cs="宋体"/>
                <w:sz w:val="18"/>
                <w:szCs w:val="18"/>
              </w:rPr>
              <w:t>国家法律法规或规范性文件；重大决策程序不科学；制度缺失可能导致系统性失效；重大或重要缺陷长期未得到有效整改；主要管理人员或关键岗位人员流失严重；其他对公司负面影响重大的情形。其他情形按影响程度分别确定为重要缺陷或一般缺陷。</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定量标准</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重大缺陷</w:t>
            </w:r>
            <w:proofErr w:type="gramStart"/>
            <w:r>
              <w:rPr>
                <w:rFonts w:ascii="宋体" w:eastAsia="宋体" w:hAnsi="宋体" w:cs="宋体"/>
                <w:sz w:val="18"/>
                <w:szCs w:val="18"/>
              </w:rPr>
              <w:t>指考虑</w:t>
            </w:r>
            <w:proofErr w:type="gramEnd"/>
            <w:r>
              <w:rPr>
                <w:rFonts w:ascii="宋体" w:eastAsia="宋体" w:hAnsi="宋体" w:cs="宋体"/>
                <w:sz w:val="18"/>
                <w:szCs w:val="18"/>
              </w:rPr>
              <w:t>补偿性控制措施和实际偏差率后，该缺陷总体影响水平高于重要性水平(营业收入的0.5%)。重要缺陷</w:t>
            </w:r>
            <w:proofErr w:type="gramStart"/>
            <w:r>
              <w:rPr>
                <w:rFonts w:ascii="宋体" w:eastAsia="宋体" w:hAnsi="宋体" w:cs="宋体"/>
                <w:sz w:val="18"/>
                <w:szCs w:val="18"/>
              </w:rPr>
              <w:t>指考虑</w:t>
            </w:r>
            <w:proofErr w:type="gramEnd"/>
            <w:r>
              <w:rPr>
                <w:rFonts w:ascii="宋体" w:eastAsia="宋体" w:hAnsi="宋体" w:cs="宋体"/>
                <w:sz w:val="18"/>
                <w:szCs w:val="18"/>
              </w:rPr>
              <w:t>补偿性控制措施和实际偏差率后，该缺陷总体影响水平低于重要性水平(营业收入的0.5%)，但高于一般性水平(营业收入的0.1%)。一般缺陷</w:t>
            </w:r>
            <w:proofErr w:type="gramStart"/>
            <w:r>
              <w:rPr>
                <w:rFonts w:ascii="宋体" w:eastAsia="宋体" w:hAnsi="宋体" w:cs="宋体"/>
                <w:sz w:val="18"/>
                <w:szCs w:val="18"/>
              </w:rPr>
              <w:t>指考虑</w:t>
            </w:r>
            <w:proofErr w:type="gramEnd"/>
            <w:r>
              <w:rPr>
                <w:rFonts w:ascii="宋体" w:eastAsia="宋体" w:hAnsi="宋体" w:cs="宋体"/>
                <w:sz w:val="18"/>
                <w:szCs w:val="18"/>
              </w:rPr>
              <w:t>补偿性控制措施和实际偏差率后，该缺陷总体影响水平低于一般性水平(营业收入的0.1％)。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重大缺陷指：1、已经对外正式披露并对公司定期报告披露造成负面影响；2、被媒体频频曝光负面新闻。该缺陷造成直接财产损失250万元(含)以上。重要缺陷指：1、受到国家政府部门处罚，但未对公司定期报告披露造成负面影响；2、被媒体曝光且产生负面影响。该缺陷造成直接财产损失50万(含)-250万元。一般缺陷指：受到省级（含省级）以下政府部门处罚但未对公司定期报告披露造成负面影响。该缺陷造成直接财产损失50万元以下。</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财务报告重大缺陷数量（</w:t>
            </w:r>
            <w:proofErr w:type="gramStart"/>
            <w:r>
              <w:rPr>
                <w:rFonts w:ascii="宋体" w:eastAsia="宋体" w:hAnsi="宋体" w:cs="宋体"/>
                <w:sz w:val="18"/>
                <w:szCs w:val="18"/>
              </w:rPr>
              <w:t>个</w:t>
            </w:r>
            <w:proofErr w:type="gramEnd"/>
            <w:r>
              <w:rPr>
                <w:rFonts w:ascii="宋体" w:eastAsia="宋体" w:hAnsi="宋体" w:cs="宋体"/>
                <w:sz w:val="18"/>
                <w:szCs w:val="18"/>
              </w:rPr>
              <w:t>）</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非财务报告重大缺陷数量（</w:t>
            </w:r>
            <w:proofErr w:type="gramStart"/>
            <w:r>
              <w:rPr>
                <w:rFonts w:ascii="宋体" w:eastAsia="宋体" w:hAnsi="宋体" w:cs="宋体"/>
                <w:sz w:val="18"/>
                <w:szCs w:val="18"/>
              </w:rPr>
              <w:t>个</w:t>
            </w:r>
            <w:proofErr w:type="gramEnd"/>
            <w:r>
              <w:rPr>
                <w:rFonts w:ascii="宋体" w:eastAsia="宋体" w:hAnsi="宋体" w:cs="宋体"/>
                <w:sz w:val="18"/>
                <w:szCs w:val="18"/>
              </w:rPr>
              <w:t>）</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财务报告重要缺陷数量（</w:t>
            </w:r>
            <w:proofErr w:type="gramStart"/>
            <w:r>
              <w:rPr>
                <w:rFonts w:ascii="宋体" w:eastAsia="宋体" w:hAnsi="宋体" w:cs="宋体"/>
                <w:sz w:val="18"/>
                <w:szCs w:val="18"/>
              </w:rPr>
              <w:t>个</w:t>
            </w:r>
            <w:proofErr w:type="gramEnd"/>
            <w:r>
              <w:rPr>
                <w:rFonts w:ascii="宋体" w:eastAsia="宋体" w:hAnsi="宋体" w:cs="宋体"/>
                <w:sz w:val="18"/>
                <w:szCs w:val="18"/>
              </w:rPr>
              <w:t>）</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非财务报告重要缺陷数量（</w:t>
            </w:r>
            <w:proofErr w:type="gramStart"/>
            <w:r>
              <w:rPr>
                <w:rFonts w:ascii="宋体" w:eastAsia="宋体" w:hAnsi="宋体" w:cs="宋体"/>
                <w:sz w:val="18"/>
                <w:szCs w:val="18"/>
              </w:rPr>
              <w:t>个</w:t>
            </w:r>
            <w:proofErr w:type="gramEnd"/>
            <w:r>
              <w:rPr>
                <w:rFonts w:ascii="宋体" w:eastAsia="宋体" w:hAnsi="宋体" w:cs="宋体"/>
                <w:sz w:val="18"/>
                <w:szCs w:val="18"/>
              </w:rPr>
              <w:t>）</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A27D66" w:rsidRDefault="00A2119D">
      <w:pPr>
        <w:pStyle w:val="3"/>
        <w:spacing w:line="280" w:lineRule="exact"/>
        <w:jc w:val="left"/>
        <w:rPr>
          <w:rFonts w:ascii="宋体" w:hAnsi="宋体" w:cs="宋体"/>
          <w:b/>
          <w:bCs/>
        </w:rPr>
      </w:pPr>
      <w:bookmarkStart w:id="91" w:name="_Toc988976"/>
      <w:r>
        <w:rPr>
          <w:rFonts w:ascii="宋体" w:hAnsi="宋体" w:cs="宋体"/>
          <w:b/>
          <w:bCs/>
        </w:rPr>
        <w:t>2、内部控制审计报告</w:t>
      </w:r>
      <w:bookmarkEnd w:id="91"/>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内部控制审计报告中的审议意见段</w:t>
            </w:r>
          </w:p>
        </w:tc>
      </w:tr>
      <w:tr w:rsidR="00A27D66">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我们认为，甘化科工公司于2024年12月31日按照《企业内部控制基本规范》和相关规定在所有重大方面保持了有效的财务报告内部控制。</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内控审计报告披露情况</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披露</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内部控制审计报告全文披露日期</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2025年04月19日</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内部控制审计报告全文披露索引</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详见公司2025年4月19日在巨潮资讯网（http://www.cninfo.com.cn）上披露的《广东甘化科工股份有限公司内部控制审计报告》</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内控审计报告意见类型</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标准无保留意见</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非财务报告是否存在重大缺陷</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会计师事务所是否出具非标准意见的内部控制审计报告</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会计师事务所出具的内部控制审计报告与董事会的自我评价报告意见是否一致</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A27D66" w:rsidRDefault="00A2119D">
      <w:pPr>
        <w:pStyle w:val="2"/>
        <w:spacing w:before="300" w:after="300" w:line="320" w:lineRule="exact"/>
        <w:rPr>
          <w:rFonts w:ascii="宋体" w:eastAsia="宋体" w:hAnsi="宋体" w:cs="宋体"/>
          <w:b/>
          <w:bCs/>
          <w:sz w:val="24"/>
          <w:szCs w:val="24"/>
        </w:rPr>
      </w:pPr>
      <w:bookmarkStart w:id="92" w:name="_Toc988977"/>
      <w:r>
        <w:rPr>
          <w:rFonts w:ascii="宋体" w:eastAsia="宋体" w:hAnsi="宋体" w:cs="宋体"/>
          <w:b/>
          <w:bCs/>
          <w:sz w:val="24"/>
          <w:szCs w:val="24"/>
        </w:rPr>
        <w:t>十五、上市公司治理专项行动自查问题整改情况</w:t>
      </w:r>
      <w:bookmarkEnd w:id="92"/>
    </w:p>
    <w:p w:rsidR="00A27D66" w:rsidRDefault="00A2119D" w:rsidP="000A1D01">
      <w:pPr>
        <w:spacing w:before="100" w:after="100" w:line="240" w:lineRule="exact"/>
        <w:ind w:firstLineChars="200" w:firstLine="420"/>
      </w:pPr>
      <w:r w:rsidRPr="004E0016">
        <w:rPr>
          <w:rFonts w:ascii="宋体" w:eastAsia="宋体" w:hAnsi="宋体" w:cs="宋体" w:hint="eastAsia"/>
          <w:szCs w:val="21"/>
        </w:rPr>
        <w:t>不适用</w:t>
      </w:r>
      <w:r>
        <w:br w:type="page"/>
      </w:r>
    </w:p>
    <w:p w:rsidR="00A27D66" w:rsidRDefault="00A2119D">
      <w:pPr>
        <w:pStyle w:val="headingh1"/>
        <w:spacing w:before="340" w:after="330" w:line="773" w:lineRule="exact"/>
        <w:jc w:val="center"/>
        <w:rPr>
          <w:rFonts w:ascii="宋体" w:eastAsia="宋体" w:hAnsi="宋体" w:cs="宋体"/>
          <w:b/>
          <w:bCs/>
          <w:sz w:val="32"/>
          <w:szCs w:val="32"/>
        </w:rPr>
      </w:pPr>
      <w:bookmarkStart w:id="93" w:name="_Toc988978"/>
      <w:r>
        <w:rPr>
          <w:rFonts w:ascii="宋体" w:eastAsia="宋体" w:hAnsi="宋体" w:cs="宋体"/>
          <w:b/>
          <w:bCs/>
          <w:sz w:val="32"/>
          <w:szCs w:val="32"/>
        </w:rPr>
        <w:lastRenderedPageBreak/>
        <w:t>第五节 环境和社会责任</w:t>
      </w:r>
      <w:bookmarkEnd w:id="93"/>
    </w:p>
    <w:p w:rsidR="00A27D66" w:rsidRDefault="00A2119D">
      <w:pPr>
        <w:pStyle w:val="2"/>
        <w:spacing w:before="300" w:after="300" w:line="320" w:lineRule="exact"/>
        <w:rPr>
          <w:rFonts w:ascii="宋体" w:eastAsia="宋体" w:hAnsi="宋体" w:cs="宋体"/>
          <w:b/>
          <w:bCs/>
          <w:sz w:val="24"/>
          <w:szCs w:val="24"/>
        </w:rPr>
      </w:pPr>
      <w:bookmarkStart w:id="94" w:name="_Toc988979"/>
      <w:r>
        <w:rPr>
          <w:rFonts w:ascii="宋体" w:eastAsia="宋体" w:hAnsi="宋体" w:cs="宋体"/>
          <w:b/>
          <w:bCs/>
          <w:sz w:val="24"/>
          <w:szCs w:val="24"/>
        </w:rPr>
        <w:t>一、重大环保问题</w:t>
      </w:r>
      <w:bookmarkEnd w:id="94"/>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上市公司及其子公司是否属于环境保护部门公布的重点排污单位</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报告期内因环境问题受到行政处罚的情况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A27D6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公司或子公司名称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处罚原因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违规情形</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处罚结果</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对上市公司生产经营的影响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公司的整改措施</w:t>
            </w:r>
          </w:p>
        </w:tc>
      </w:tr>
      <w:tr w:rsidR="00A27D6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无</w:t>
            </w:r>
          </w:p>
        </w:tc>
      </w:tr>
    </w:tbl>
    <w:p w:rsidR="00A27D66" w:rsidRDefault="00A2119D" w:rsidP="00831BA6">
      <w:pPr>
        <w:spacing w:before="100" w:after="100" w:line="240" w:lineRule="exact"/>
        <w:rPr>
          <w:rFonts w:ascii="宋体" w:eastAsia="宋体" w:hAnsi="宋体" w:cs="宋体"/>
          <w:sz w:val="18"/>
          <w:szCs w:val="18"/>
        </w:rPr>
      </w:pPr>
      <w:r>
        <w:rPr>
          <w:rFonts w:ascii="宋体" w:eastAsia="宋体" w:hAnsi="宋体" w:cs="宋体"/>
          <w:sz w:val="18"/>
          <w:szCs w:val="18"/>
        </w:rPr>
        <w:t>参照重点排污单位披露的其他环境信息</w:t>
      </w:r>
    </w:p>
    <w:p w:rsidR="00A2119D" w:rsidRPr="00831BA6" w:rsidRDefault="00A2119D" w:rsidP="00831BA6">
      <w:pPr>
        <w:spacing w:before="100" w:after="100" w:line="240" w:lineRule="exact"/>
        <w:divId w:val="1509832978"/>
        <w:rPr>
          <w:rFonts w:ascii="宋体" w:eastAsia="宋体" w:hAnsi="宋体" w:cs="宋体"/>
          <w:sz w:val="18"/>
          <w:szCs w:val="18"/>
        </w:rPr>
      </w:pPr>
      <w:r w:rsidRPr="00831BA6">
        <w:rPr>
          <w:rFonts w:ascii="宋体" w:eastAsia="宋体" w:hAnsi="宋体" w:cs="宋体" w:hint="eastAsia"/>
          <w:sz w:val="18"/>
          <w:szCs w:val="18"/>
        </w:rPr>
        <w:t>无</w:t>
      </w:r>
    </w:p>
    <w:p w:rsidR="00A27D66" w:rsidRDefault="00A2119D" w:rsidP="00831BA6">
      <w:pPr>
        <w:spacing w:before="100" w:after="100" w:line="240" w:lineRule="exact"/>
        <w:rPr>
          <w:rFonts w:ascii="宋体" w:eastAsia="宋体" w:hAnsi="宋体" w:cs="宋体"/>
          <w:sz w:val="18"/>
          <w:szCs w:val="18"/>
        </w:rPr>
      </w:pPr>
      <w:r>
        <w:rPr>
          <w:rFonts w:ascii="宋体" w:eastAsia="宋体" w:hAnsi="宋体" w:cs="宋体"/>
          <w:sz w:val="18"/>
          <w:szCs w:val="18"/>
        </w:rPr>
        <w:t>在报告期内为减少其碳排放所采取的措施及效果</w:t>
      </w:r>
    </w:p>
    <w:p w:rsidR="00A27D66" w:rsidRDefault="00A2119D" w:rsidP="00831BA6">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rsidP="00831BA6">
      <w:pPr>
        <w:spacing w:before="100" w:after="100" w:line="360" w:lineRule="auto"/>
        <w:rPr>
          <w:rFonts w:ascii="宋体" w:eastAsia="宋体" w:hAnsi="宋体" w:cs="宋体"/>
          <w:sz w:val="18"/>
          <w:szCs w:val="18"/>
        </w:rPr>
      </w:pPr>
      <w:r>
        <w:rPr>
          <w:rFonts w:ascii="宋体" w:eastAsia="宋体" w:hAnsi="宋体" w:cs="宋体"/>
          <w:sz w:val="18"/>
          <w:szCs w:val="18"/>
        </w:rPr>
        <w:t>未披露其他环境信息的原因</w:t>
      </w:r>
    </w:p>
    <w:p w:rsidR="00A2119D" w:rsidRPr="00003D92" w:rsidRDefault="00A2119D" w:rsidP="00003D92">
      <w:pPr>
        <w:pStyle w:val="a3"/>
        <w:spacing w:before="0" w:beforeAutospacing="0" w:after="0" w:afterAutospacing="0" w:line="360" w:lineRule="auto"/>
        <w:ind w:firstLine="561"/>
        <w:jc w:val="both"/>
        <w:divId w:val="247347633"/>
        <w:rPr>
          <w:color w:val="000000"/>
          <w:sz w:val="21"/>
          <w:szCs w:val="21"/>
        </w:rPr>
      </w:pPr>
      <w:r w:rsidRPr="005E7788">
        <w:rPr>
          <w:rFonts w:hint="eastAsia"/>
          <w:color w:val="000000"/>
          <w:sz w:val="21"/>
          <w:szCs w:val="21"/>
        </w:rPr>
        <w:t>报告期内公司及子公司均不属于环境保护部门公布的重点排污单位。</w:t>
      </w:r>
      <w:r w:rsidRPr="00003D92">
        <w:rPr>
          <w:color w:val="000000"/>
          <w:sz w:val="21"/>
          <w:szCs w:val="21"/>
        </w:rPr>
        <w:t> </w:t>
      </w:r>
    </w:p>
    <w:p w:rsidR="00A2119D" w:rsidRPr="00003D92" w:rsidRDefault="00A2119D" w:rsidP="00831BA6">
      <w:pPr>
        <w:pStyle w:val="a3"/>
        <w:spacing w:before="0" w:beforeAutospacing="0" w:after="0" w:afterAutospacing="0" w:line="360" w:lineRule="auto"/>
        <w:ind w:firstLine="561"/>
        <w:jc w:val="both"/>
        <w:divId w:val="247347633"/>
        <w:rPr>
          <w:color w:val="000000"/>
          <w:sz w:val="21"/>
          <w:szCs w:val="21"/>
        </w:rPr>
      </w:pPr>
      <w:r w:rsidRPr="00003D92">
        <w:rPr>
          <w:rFonts w:hint="eastAsia"/>
          <w:color w:val="000000"/>
          <w:sz w:val="21"/>
          <w:szCs w:val="21"/>
        </w:rPr>
        <w:t>公司下属生产型企业严格按照监管部门的要求实现排放物有效规范处理、达标排放,报告期内无环保投诉事件和重大环保责任事故发生。</w:t>
      </w:r>
    </w:p>
    <w:p w:rsidR="00A27D66" w:rsidRDefault="00A2119D" w:rsidP="005E7788">
      <w:pPr>
        <w:pStyle w:val="2"/>
        <w:spacing w:before="0" w:after="0" w:line="560" w:lineRule="exact"/>
        <w:rPr>
          <w:rFonts w:ascii="宋体" w:eastAsia="宋体" w:hAnsi="宋体" w:cs="宋体"/>
          <w:b/>
          <w:bCs/>
          <w:sz w:val="24"/>
          <w:szCs w:val="24"/>
        </w:rPr>
      </w:pPr>
      <w:bookmarkStart w:id="95" w:name="_Toc988980"/>
      <w:r>
        <w:rPr>
          <w:rFonts w:ascii="宋体" w:eastAsia="宋体" w:hAnsi="宋体" w:cs="宋体"/>
          <w:b/>
          <w:bCs/>
          <w:sz w:val="24"/>
          <w:szCs w:val="24"/>
        </w:rPr>
        <w:t>二、社会责任情况</w:t>
      </w:r>
      <w:bookmarkEnd w:id="95"/>
    </w:p>
    <w:p w:rsidR="00A2119D" w:rsidRPr="00003D92" w:rsidRDefault="00A2119D" w:rsidP="00003D92">
      <w:pPr>
        <w:pStyle w:val="a3"/>
        <w:spacing w:before="0" w:beforeAutospacing="0" w:after="0" w:afterAutospacing="0" w:line="360" w:lineRule="auto"/>
        <w:ind w:firstLine="561"/>
        <w:jc w:val="both"/>
        <w:divId w:val="1666739490"/>
        <w:rPr>
          <w:color w:val="000000"/>
          <w:sz w:val="21"/>
          <w:szCs w:val="21"/>
        </w:rPr>
      </w:pPr>
      <w:r w:rsidRPr="00003D92">
        <w:rPr>
          <w:rFonts w:hint="eastAsia"/>
          <w:color w:val="000000"/>
          <w:sz w:val="21"/>
          <w:szCs w:val="21"/>
        </w:rPr>
        <w:t>详见 2025 年 4 月19日刊载于巨潮资讯网（</w:t>
      </w:r>
      <w:hyperlink r:id="rId7" w:history="1">
        <w:r w:rsidRPr="00003D92">
          <w:rPr>
            <w:rFonts w:hint="eastAsia"/>
            <w:color w:val="000000"/>
            <w:sz w:val="21"/>
            <w:szCs w:val="21"/>
          </w:rPr>
          <w:t>http://www.cninfo.com.cn</w:t>
        </w:r>
      </w:hyperlink>
      <w:r w:rsidRPr="00003D92">
        <w:rPr>
          <w:rFonts w:hint="eastAsia"/>
          <w:color w:val="000000"/>
          <w:sz w:val="21"/>
          <w:szCs w:val="21"/>
        </w:rPr>
        <w:t>）的《公司 2024 年度社会责任报告》</w:t>
      </w:r>
      <w:r w:rsidRPr="00003D92">
        <w:rPr>
          <w:rFonts w:ascii="微软雅黑" w:eastAsia="微软雅黑" w:hAnsi="微软雅黑" w:cs="微软雅黑" w:hint="eastAsia"/>
          <w:color w:val="000000"/>
          <w:sz w:val="21"/>
          <w:szCs w:val="21"/>
        </w:rPr>
        <w:t>｡</w:t>
      </w:r>
    </w:p>
    <w:p w:rsidR="00A27D66" w:rsidRDefault="00A2119D" w:rsidP="005E7788">
      <w:pPr>
        <w:pStyle w:val="2"/>
        <w:spacing w:before="0" w:after="0" w:line="560" w:lineRule="exact"/>
        <w:rPr>
          <w:rFonts w:ascii="宋体" w:eastAsia="宋体" w:hAnsi="宋体" w:cs="宋体"/>
          <w:b/>
          <w:bCs/>
          <w:sz w:val="24"/>
          <w:szCs w:val="24"/>
        </w:rPr>
      </w:pPr>
      <w:bookmarkStart w:id="96" w:name="_Toc988981"/>
      <w:r>
        <w:rPr>
          <w:rFonts w:ascii="宋体" w:eastAsia="宋体" w:hAnsi="宋体" w:cs="宋体"/>
          <w:b/>
          <w:bCs/>
          <w:sz w:val="24"/>
          <w:szCs w:val="24"/>
        </w:rPr>
        <w:t>三、巩固拓展脱贫攻坚成果、乡村振兴的情况</w:t>
      </w:r>
      <w:bookmarkEnd w:id="96"/>
    </w:p>
    <w:p w:rsidR="00A2119D" w:rsidRPr="005E7788" w:rsidRDefault="00A2119D" w:rsidP="00003D92">
      <w:pPr>
        <w:pStyle w:val="a3"/>
        <w:spacing w:before="0" w:beforeAutospacing="0" w:after="0" w:afterAutospacing="0" w:line="360" w:lineRule="auto"/>
        <w:ind w:firstLine="561"/>
        <w:jc w:val="both"/>
        <w:divId w:val="1772621344"/>
        <w:rPr>
          <w:sz w:val="21"/>
          <w:szCs w:val="21"/>
        </w:rPr>
      </w:pPr>
      <w:r w:rsidRPr="00003D92">
        <w:rPr>
          <w:rFonts w:hint="eastAsia"/>
          <w:color w:val="000000"/>
          <w:sz w:val="21"/>
          <w:szCs w:val="21"/>
        </w:rPr>
        <w:t>公司报告期内未开展脱贫攻坚、乡村振兴工作。</w:t>
      </w:r>
    </w:p>
    <w:p w:rsidR="00A27D66" w:rsidRDefault="00A2119D">
      <w:r>
        <w:br w:type="page"/>
      </w:r>
    </w:p>
    <w:p w:rsidR="00A27D66" w:rsidRDefault="00A2119D">
      <w:pPr>
        <w:pStyle w:val="headingh1"/>
        <w:spacing w:before="340" w:after="330" w:line="773" w:lineRule="exact"/>
        <w:jc w:val="center"/>
        <w:rPr>
          <w:rFonts w:ascii="宋体" w:eastAsia="宋体" w:hAnsi="宋体" w:cs="宋体"/>
          <w:b/>
          <w:bCs/>
          <w:sz w:val="32"/>
          <w:szCs w:val="32"/>
        </w:rPr>
      </w:pPr>
      <w:bookmarkStart w:id="97" w:name="_Toc988982"/>
      <w:r>
        <w:rPr>
          <w:rFonts w:ascii="宋体" w:eastAsia="宋体" w:hAnsi="宋体" w:cs="宋体"/>
          <w:b/>
          <w:bCs/>
          <w:sz w:val="32"/>
          <w:szCs w:val="32"/>
        </w:rPr>
        <w:lastRenderedPageBreak/>
        <w:t>第六节 重要事项</w:t>
      </w:r>
      <w:bookmarkEnd w:id="97"/>
    </w:p>
    <w:p w:rsidR="00A27D66" w:rsidRDefault="00A2119D">
      <w:pPr>
        <w:pStyle w:val="2"/>
        <w:spacing w:before="300" w:after="300" w:line="320" w:lineRule="exact"/>
        <w:rPr>
          <w:rFonts w:ascii="宋体" w:eastAsia="宋体" w:hAnsi="宋体" w:cs="宋体"/>
          <w:b/>
          <w:bCs/>
          <w:sz w:val="24"/>
          <w:szCs w:val="24"/>
        </w:rPr>
      </w:pPr>
      <w:bookmarkStart w:id="98" w:name="_Toc988983"/>
      <w:r>
        <w:rPr>
          <w:rFonts w:ascii="宋体" w:eastAsia="宋体" w:hAnsi="宋体" w:cs="宋体"/>
          <w:b/>
          <w:bCs/>
          <w:sz w:val="24"/>
          <w:szCs w:val="24"/>
        </w:rPr>
        <w:t>一、承诺事项履行情况</w:t>
      </w:r>
      <w:bookmarkEnd w:id="98"/>
    </w:p>
    <w:p w:rsidR="00A27D66" w:rsidRDefault="00A2119D">
      <w:pPr>
        <w:pStyle w:val="3"/>
        <w:spacing w:line="280" w:lineRule="exact"/>
        <w:jc w:val="left"/>
        <w:rPr>
          <w:rFonts w:ascii="宋体" w:hAnsi="宋体" w:cs="宋体"/>
          <w:b/>
          <w:bCs/>
        </w:rPr>
      </w:pPr>
      <w:bookmarkStart w:id="99" w:name="_Toc988984"/>
      <w:r>
        <w:rPr>
          <w:rFonts w:ascii="宋体" w:hAnsi="宋体" w:cs="宋体"/>
          <w:b/>
          <w:bCs/>
        </w:rPr>
        <w:t>1、公司实际控制人、股东、关联方、收购人以及公司等承诺相关方在报告期内履行完毕及截至报告期末尚未履行完毕的承诺事项</w:t>
      </w:r>
      <w:bookmarkEnd w:id="99"/>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175"/>
        <w:gridCol w:w="1276"/>
        <w:gridCol w:w="2409"/>
        <w:gridCol w:w="1134"/>
        <w:gridCol w:w="1134"/>
        <w:gridCol w:w="1134"/>
      </w:tblGrid>
      <w:tr w:rsidR="00A27D66" w:rsidTr="005E7788">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承诺事由</w:t>
            </w:r>
          </w:p>
        </w:tc>
        <w:tc>
          <w:tcPr>
            <w:tcW w:w="117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承诺方</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承诺类型</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承诺内容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承诺时间</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承诺期限</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履行情况</w:t>
            </w:r>
          </w:p>
        </w:tc>
      </w:tr>
      <w:tr w:rsidR="00A27D66" w:rsidTr="005E7788">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收购报告书或权益变动报告书中所作承诺</w:t>
            </w:r>
          </w:p>
        </w:tc>
        <w:tc>
          <w:tcPr>
            <w:tcW w:w="117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德力西集团有限公司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其他承诺</w:t>
            </w:r>
          </w:p>
        </w:tc>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德力西集团承诺ST甘</w:t>
            </w:r>
            <w:proofErr w:type="gramStart"/>
            <w:r>
              <w:rPr>
                <w:rFonts w:ascii="宋体" w:eastAsia="宋体" w:hAnsi="宋体" w:cs="宋体"/>
                <w:sz w:val="18"/>
                <w:szCs w:val="18"/>
              </w:rPr>
              <w:t>化注册</w:t>
            </w:r>
            <w:proofErr w:type="gramEnd"/>
            <w:r>
              <w:rPr>
                <w:rFonts w:ascii="宋体" w:eastAsia="宋体" w:hAnsi="宋体" w:cs="宋体"/>
                <w:sz w:val="18"/>
                <w:szCs w:val="18"/>
              </w:rPr>
              <w:t>地</w:t>
            </w:r>
            <w:proofErr w:type="gramStart"/>
            <w:r>
              <w:rPr>
                <w:rFonts w:ascii="宋体" w:eastAsia="宋体" w:hAnsi="宋体" w:cs="宋体"/>
                <w:sz w:val="18"/>
                <w:szCs w:val="18"/>
              </w:rPr>
              <w:t>不迁离江</w:t>
            </w:r>
            <w:proofErr w:type="gramEnd"/>
            <w:r>
              <w:rPr>
                <w:rFonts w:ascii="宋体" w:eastAsia="宋体" w:hAnsi="宋体" w:cs="宋体"/>
                <w:sz w:val="18"/>
                <w:szCs w:val="18"/>
              </w:rPr>
              <w:t>门市区。</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2011年02月15日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作为本公司大股东期间</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正常履行中</w:t>
            </w:r>
          </w:p>
        </w:tc>
      </w:tr>
      <w:tr w:rsidR="00A27D66" w:rsidTr="005E7788">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收购报告书或权益变动报告书中所作承诺</w:t>
            </w:r>
          </w:p>
        </w:tc>
        <w:tc>
          <w:tcPr>
            <w:tcW w:w="117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德力西集团有限公司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关于同业竞争、关联交易、资金占用方面的承诺</w:t>
            </w:r>
          </w:p>
        </w:tc>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力西集团作为本公司大股东期间，不在任何地域以任何形式，从事法律、法规和规范性法律文件所规定的可能与本公司构成同业竞争的活动；从第三方获得的商业机会如果属于本公司主营业务范围之内的，则将及时告知本公司，并尽可能地协助本公司取得该商业机会；不以任何方式从事任何可能影响本公司经营和发展的业务或活动；不以下列任何方式从事任何可能影响本公司经营和发展的业务或活动：（1）利用现有的社会资源和客户资源阻碍或者限制本公司的独立发展；（2）在社会上散布不利于本公司的消息；（3）利用对本公司控股施加不良影响，造成本公司高管人员、研发人员、技术人员等核心人员的异常变动；（4）从本公司招聘专业技术人员、销售人员、高级管理人员；（5）捏造、散布不利于本公司的消息，损害本公司的商誉。德力西集团如违反以上承诺导致本公司遭受损失，将向本公司进行合理赔偿。</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2011年02月15日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作为本公司大股东期间</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正常履行中</w:t>
            </w:r>
          </w:p>
        </w:tc>
      </w:tr>
      <w:tr w:rsidR="00A27D66" w:rsidTr="005E7788">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收购报告书或权益变动报告书中所作承诺</w:t>
            </w:r>
          </w:p>
        </w:tc>
        <w:tc>
          <w:tcPr>
            <w:tcW w:w="117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德力西集团有限公司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关于同业竞争、关联交易、资金占用方面的承诺</w:t>
            </w:r>
          </w:p>
        </w:tc>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力西集团作为本公司大股东期间，将尽可能避免和减少与本公司之间的关联交易，对于无法避免或者有合理原因而发生的关联交易，将遵循公正、公平、公开的原则，依法签订协议，履行合法程序，按照有关法律法规、《深圳证券交易所股票上市规则》以及《公司章</w:t>
            </w:r>
            <w:r>
              <w:rPr>
                <w:rFonts w:ascii="宋体" w:eastAsia="宋体" w:hAnsi="宋体" w:cs="宋体"/>
                <w:sz w:val="18"/>
                <w:szCs w:val="18"/>
              </w:rPr>
              <w:lastRenderedPageBreak/>
              <w:t>程》等有关规定履行信息披露义务和办理相关手续，保证不通过关联交易损害本公司及其他股东的合法权益。</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2011年02月15日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作为本公司大股东期间</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正常履行中</w:t>
            </w:r>
          </w:p>
        </w:tc>
      </w:tr>
      <w:tr w:rsidR="00A27D66" w:rsidTr="005E7788">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资产重组时所作承诺</w:t>
            </w:r>
          </w:p>
        </w:tc>
        <w:tc>
          <w:tcPr>
            <w:tcW w:w="117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冯骏;彭玫</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关于同业竞争、关联交易、资金占用方面的承诺</w:t>
            </w:r>
          </w:p>
        </w:tc>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一、本人及本人直接或间接控制的其他企业目前不存在与上市公司从事直接或间接竞争业务的情形。二、自</w:t>
            </w:r>
            <w:proofErr w:type="gramStart"/>
            <w:r>
              <w:rPr>
                <w:rFonts w:ascii="宋体" w:eastAsia="宋体" w:hAnsi="宋体" w:cs="宋体"/>
                <w:sz w:val="18"/>
                <w:szCs w:val="18"/>
              </w:rPr>
              <w:t>本承诺函签署</w:t>
            </w:r>
            <w:proofErr w:type="gramEnd"/>
            <w:r>
              <w:rPr>
                <w:rFonts w:ascii="宋体" w:eastAsia="宋体" w:hAnsi="宋体" w:cs="宋体"/>
                <w:sz w:val="18"/>
                <w:szCs w:val="18"/>
              </w:rPr>
              <w:t>日，本人及本人直接或间接控制的其他企业将</w:t>
            </w:r>
            <w:proofErr w:type="gramStart"/>
            <w:r>
              <w:rPr>
                <w:rFonts w:ascii="宋体" w:eastAsia="宋体" w:hAnsi="宋体" w:cs="宋体"/>
                <w:sz w:val="18"/>
                <w:szCs w:val="18"/>
              </w:rPr>
              <w:t>不</w:t>
            </w:r>
            <w:proofErr w:type="gramEnd"/>
            <w:r>
              <w:rPr>
                <w:rFonts w:ascii="宋体" w:eastAsia="宋体" w:hAnsi="宋体" w:cs="宋体"/>
                <w:sz w:val="18"/>
                <w:szCs w:val="18"/>
              </w:rPr>
              <w:t>新增与上市公司产生直接或间接竞争的经营业务。如未来与上市公司构成同业竞争的情形，本人将采取合法有效的措施予以规范或避免。上述承诺自签署之日起生效，对本人具有法律约束力，若违反上述承诺，本人将对由此给上市公司造成的全部损失承担赔偿责任，并对由此造成的其他后果承担相应的法律责任。</w:t>
            </w:r>
            <w:proofErr w:type="gramStart"/>
            <w:r>
              <w:rPr>
                <w:rFonts w:ascii="宋体" w:eastAsia="宋体" w:hAnsi="宋体" w:cs="宋体"/>
                <w:sz w:val="18"/>
                <w:szCs w:val="18"/>
              </w:rPr>
              <w:t>本承诺</w:t>
            </w:r>
            <w:proofErr w:type="gramEnd"/>
            <w:r>
              <w:rPr>
                <w:rFonts w:ascii="宋体" w:eastAsia="宋体" w:hAnsi="宋体" w:cs="宋体"/>
                <w:sz w:val="18"/>
                <w:szCs w:val="18"/>
              </w:rPr>
              <w:t>持续有效且不可变更或撤销，直至本人不再持有上市公司股份且不在升华电源处任职为止。</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2018年09月17日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proofErr w:type="gramStart"/>
            <w:r>
              <w:rPr>
                <w:rFonts w:ascii="宋体" w:eastAsia="宋体" w:hAnsi="宋体" w:cs="宋体"/>
                <w:sz w:val="18"/>
                <w:szCs w:val="18"/>
              </w:rPr>
              <w:t>自承诺</w:t>
            </w:r>
            <w:proofErr w:type="gramEnd"/>
            <w:r>
              <w:rPr>
                <w:rFonts w:ascii="宋体" w:eastAsia="宋体" w:hAnsi="宋体" w:cs="宋体"/>
                <w:sz w:val="18"/>
                <w:szCs w:val="18"/>
              </w:rPr>
              <w:t>签署之日起至其不再持有上市公司股份且不在升华电源处任职为止</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正常履行中</w:t>
            </w:r>
          </w:p>
        </w:tc>
      </w:tr>
      <w:tr w:rsidR="00A27D66" w:rsidTr="005E7788">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资产重组时所作承诺</w:t>
            </w:r>
          </w:p>
        </w:tc>
        <w:tc>
          <w:tcPr>
            <w:tcW w:w="117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冯骏;彭玫</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关于同业竞争、关联交易、资金占用方面的承诺</w:t>
            </w:r>
          </w:p>
        </w:tc>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一、截至</w:t>
            </w:r>
            <w:proofErr w:type="gramStart"/>
            <w:r>
              <w:rPr>
                <w:rFonts w:ascii="宋体" w:eastAsia="宋体" w:hAnsi="宋体" w:cs="宋体"/>
                <w:sz w:val="18"/>
                <w:szCs w:val="18"/>
              </w:rPr>
              <w:t>本承诺</w:t>
            </w:r>
            <w:proofErr w:type="gramEnd"/>
            <w:r>
              <w:rPr>
                <w:rFonts w:ascii="宋体" w:eastAsia="宋体" w:hAnsi="宋体" w:cs="宋体"/>
                <w:sz w:val="18"/>
                <w:szCs w:val="18"/>
              </w:rPr>
              <w:t>函出具日，本人及本人的关联企业与上市公司不存在法律、法规及规范性文件规定的关联关系。本人及本人的关联企业与上市公司将来不可避免发生关联交易时，本人及本人的关联企业保证遵循市场交易的公平原则及政策的商业条款与上市公司进行交易。如未按照市场交易的公平原则与上市公司进行交易，而给上市公司造成损失或已经造成损失的，由本人依法承担相关责任。二、若本次交易完成后，本人成为上市公司股东，本人将善意履行作为上市公司股东的义务，充分尊重上市公司的独立法人地位，保障上市公司独立经营、自主决策。本人及本人的关联企业，将来尽可能避免与上市公司发生关联交易。三、本人及本人的关联企业承诺不以借款、代偿债务、代垫款项或者其他方式占用上市公司资金，也不要求上市公司为本人及本人的关联企业进行违规担保。四、如果上市公司在今后的经营活动中与本人或本人的</w:t>
            </w:r>
            <w:r>
              <w:rPr>
                <w:rFonts w:ascii="宋体" w:eastAsia="宋体" w:hAnsi="宋体" w:cs="宋体"/>
                <w:sz w:val="18"/>
                <w:szCs w:val="18"/>
              </w:rPr>
              <w:lastRenderedPageBreak/>
              <w:t>关联企业发生不可避免的关联交易，本人将促使此等交易严格按照国家有关法律法规、中国证券监督管理委员会、深圳证券交易所的相关规定以及上市公司的章程等内部治理相关制度的规定履行有关程序；在上市公司股东大会对关联交易进行表决时，严格履行回避表决的义务；与上市公司依法签订协议，及时进行信息披露；保证按照正常的商业条件进行，且本人及本人的关联企业将不会要求或接受上市公司给予比任何一项市场公平交易中第三者更优惠的条件，保证不通过关联交易损害上市公司及其他股东的合法权益。五、本人及本人的关联企业将严格和善意地履行与上市公司签订的各种关联交易协议。本人及本人的关联企业将不会向上市公司谋求任何超出上述协议规定之外的利益或收益。六、如违反上述承诺给上市公司造成损失，本人将依法承担相应责任。</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2018年09月17日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本次交易完成后</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正常履行中</w:t>
            </w:r>
          </w:p>
        </w:tc>
      </w:tr>
      <w:tr w:rsidR="00A27D66" w:rsidTr="005E7788">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资产重组时所作承诺</w:t>
            </w:r>
          </w:p>
        </w:tc>
        <w:tc>
          <w:tcPr>
            <w:tcW w:w="117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升华共创;升华同享;冯骏;彭玫</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其他承诺</w:t>
            </w:r>
          </w:p>
        </w:tc>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一、保证上市公司人员独立：1、上市公司的高级管理人员</w:t>
            </w:r>
            <w:proofErr w:type="gramStart"/>
            <w:r>
              <w:rPr>
                <w:rFonts w:ascii="宋体" w:eastAsia="宋体" w:hAnsi="宋体" w:cs="宋体"/>
                <w:sz w:val="18"/>
                <w:szCs w:val="18"/>
              </w:rPr>
              <w:t>专职在</w:t>
            </w:r>
            <w:proofErr w:type="gramEnd"/>
            <w:r>
              <w:rPr>
                <w:rFonts w:ascii="宋体" w:eastAsia="宋体" w:hAnsi="宋体" w:cs="宋体"/>
                <w:sz w:val="18"/>
                <w:szCs w:val="18"/>
              </w:rPr>
              <w:t>上市公司任职、并在上市公司领取薪酬，不会在本人\本企业控制的其他公司、企业或经济组织（以下统称"本人\本企业的关联企业"）任职，继续保持上市公司人员的独立性；2、上市公司具有完整的独立的劳动、人事管理体系，该等体系独立于本人\本企业；3、本人\本企业推荐出任上市公司董事和高级管理人员的人选均通过合法程序进行，本人\本企业不干预上市公司董事会和股东大会已做出的人事任免决定。二、保证上市公司资产独立、完整：1、上市公司具有完整的经营性资产； 2、本人\本企业及本人\本企业的关联企业</w:t>
            </w:r>
            <w:proofErr w:type="gramStart"/>
            <w:r>
              <w:rPr>
                <w:rFonts w:ascii="宋体" w:eastAsia="宋体" w:hAnsi="宋体" w:cs="宋体"/>
                <w:sz w:val="18"/>
                <w:szCs w:val="18"/>
              </w:rPr>
              <w:t>不</w:t>
            </w:r>
            <w:proofErr w:type="gramEnd"/>
            <w:r>
              <w:rPr>
                <w:rFonts w:ascii="宋体" w:eastAsia="宋体" w:hAnsi="宋体" w:cs="宋体"/>
                <w:sz w:val="18"/>
                <w:szCs w:val="18"/>
              </w:rPr>
              <w:t>违规占用上市公司的资金、资产及其他资源。三、保证上市公司机构独立：1、上市公司依法建立和完善法人治理结构，建立独立、完整的组织</w:t>
            </w:r>
            <w:r>
              <w:rPr>
                <w:rFonts w:ascii="宋体" w:eastAsia="宋体" w:hAnsi="宋体" w:cs="宋体"/>
                <w:sz w:val="18"/>
                <w:szCs w:val="18"/>
              </w:rPr>
              <w:lastRenderedPageBreak/>
              <w:t>机构；2、上市公司与本人\本企业的关联企业之间在办公机构和生产经营场所等方面完全分开。四、保证上市公司业务独立：1、上市公司拥有独立开展经营活动的资产、人员、资质以及具有独立面向市场自主经营的能力，在经营业务方面具有独立运作的能力；2、除通过行使合法的股东权利外，不干预上市公司的经营业务活动；3、依据减少并规范关联交易的原则，采取合法方式减少或消除本人\本企业及本人\本企业的关联企业与上市公司之间的关联交易；对于确有必要存在的关联交易，其关联交易价格按照公平合理及市场化原则确定，确保上市公司及其他股东利益不受到损害并及时履行信息披露义务。五、保证上市公司财务独立：1、上市公司拥有独立的财务会计部门，建立独立的财务核算体系和财务管理制度；2、上市公司独立在银行开户，不与本人\本企业及本人\本企业的关联企业共用银行账户；3、上市公司独立</w:t>
            </w:r>
            <w:proofErr w:type="gramStart"/>
            <w:r>
              <w:rPr>
                <w:rFonts w:ascii="宋体" w:eastAsia="宋体" w:hAnsi="宋体" w:cs="宋体"/>
                <w:sz w:val="18"/>
                <w:szCs w:val="18"/>
              </w:rPr>
              <w:t>作出</w:t>
            </w:r>
            <w:proofErr w:type="gramEnd"/>
            <w:r>
              <w:rPr>
                <w:rFonts w:ascii="宋体" w:eastAsia="宋体" w:hAnsi="宋体" w:cs="宋体"/>
                <w:sz w:val="18"/>
                <w:szCs w:val="18"/>
              </w:rPr>
              <w:t>财务决策，本人\本企业及本人\本企业的关联企业不干预上市公司的资金使用；4、上市公司依法独立纳税；5、上市公司的财务人员独立，不在本人\本企业的关联企业兼职和领取报酬。</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2018年09月17日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本次交易完成后</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正常履行中</w:t>
            </w:r>
          </w:p>
        </w:tc>
      </w:tr>
      <w:tr w:rsidR="00A27D66" w:rsidTr="005E7788">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首次公开发行或再融资时所作承诺</w:t>
            </w:r>
          </w:p>
        </w:tc>
        <w:tc>
          <w:tcPr>
            <w:tcW w:w="117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德力西集团有限公司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其他承诺</w:t>
            </w:r>
          </w:p>
        </w:tc>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本次非公开发行完成后，德力西集团将在股东权利范围内，引导本公司向金融机构适度负债经营，保持合理的资产负债率，保证本公司可持续稳健经营。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2011年02月15日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本次非公开发行股票完成后</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正常履行中</w:t>
            </w:r>
          </w:p>
        </w:tc>
      </w:tr>
      <w:tr w:rsidR="00A27D66" w:rsidTr="005E7788">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首次公开发行或再融资时所作承诺</w:t>
            </w:r>
          </w:p>
        </w:tc>
        <w:tc>
          <w:tcPr>
            <w:tcW w:w="117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原控股股东江门市资产管理局</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其他承诺</w:t>
            </w:r>
          </w:p>
        </w:tc>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本次非公开发行完成后，江门市资产管理局及其关联人不存在占用本公司资金、资产或者由本公司为江门市资产管理局及其关联人提供担保的情形。</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2011年02月15日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本次非公开发行股票完成后</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正常履行中</w:t>
            </w:r>
          </w:p>
        </w:tc>
      </w:tr>
      <w:tr w:rsidR="00A27D66" w:rsidTr="005E7788">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其他对公司中小股东所作承诺</w:t>
            </w:r>
          </w:p>
        </w:tc>
        <w:tc>
          <w:tcPr>
            <w:tcW w:w="117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郝宏伟</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业绩承诺及补偿安排</w:t>
            </w:r>
          </w:p>
        </w:tc>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2022年7月1日至2025年6月</w:t>
            </w:r>
            <w:r w:rsidR="00F506EF">
              <w:rPr>
                <w:rFonts w:ascii="宋体" w:eastAsia="宋体" w:hAnsi="宋体" w:cs="宋体" w:hint="eastAsia"/>
                <w:sz w:val="18"/>
                <w:szCs w:val="18"/>
              </w:rPr>
              <w:t>3</w:t>
            </w:r>
            <w:r w:rsidR="00F506EF">
              <w:rPr>
                <w:rFonts w:ascii="宋体" w:eastAsia="宋体" w:hAnsi="宋体" w:cs="宋体"/>
                <w:sz w:val="18"/>
                <w:szCs w:val="18"/>
              </w:rPr>
              <w:t>0</w:t>
            </w:r>
            <w:r w:rsidR="00F506EF">
              <w:rPr>
                <w:rFonts w:ascii="宋体" w:eastAsia="宋体" w:hAnsi="宋体" w:cs="宋体" w:hint="eastAsia"/>
                <w:sz w:val="18"/>
                <w:szCs w:val="18"/>
              </w:rPr>
              <w:t>日</w:t>
            </w:r>
            <w:r>
              <w:rPr>
                <w:rFonts w:ascii="宋体" w:eastAsia="宋体" w:hAnsi="宋体" w:cs="宋体"/>
                <w:sz w:val="18"/>
                <w:szCs w:val="18"/>
              </w:rPr>
              <w:t>为利润保障期，在利润保障期内，沈阳</w:t>
            </w:r>
            <w:proofErr w:type="gramStart"/>
            <w:r>
              <w:rPr>
                <w:rFonts w:ascii="宋体" w:eastAsia="宋体" w:hAnsi="宋体" w:cs="宋体"/>
                <w:sz w:val="18"/>
                <w:szCs w:val="18"/>
              </w:rPr>
              <w:t>非晶经审定</w:t>
            </w:r>
            <w:proofErr w:type="gramEnd"/>
            <w:r>
              <w:rPr>
                <w:rFonts w:ascii="宋体" w:eastAsia="宋体" w:hAnsi="宋体" w:cs="宋体"/>
                <w:sz w:val="18"/>
                <w:szCs w:val="18"/>
              </w:rPr>
              <w:t>的三年合计</w:t>
            </w:r>
            <w:proofErr w:type="gramStart"/>
            <w:r>
              <w:rPr>
                <w:rFonts w:ascii="宋体" w:eastAsia="宋体" w:hAnsi="宋体" w:cs="宋体"/>
                <w:sz w:val="18"/>
                <w:szCs w:val="18"/>
              </w:rPr>
              <w:t>税后保障期调整净</w:t>
            </w:r>
            <w:proofErr w:type="gramEnd"/>
            <w:r>
              <w:rPr>
                <w:rFonts w:ascii="宋体" w:eastAsia="宋体" w:hAnsi="宋体" w:cs="宋体"/>
                <w:sz w:val="18"/>
                <w:szCs w:val="18"/>
              </w:rPr>
              <w:t>利润与研发费用之和不低于5,100万元。</w:t>
            </w:r>
          </w:p>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若未实现业绩承诺，则甘化科工或福建卓越有权要求郝宏伟和/或三明超越以沈阳非晶的股权无偿转让至甘化科工和/或福建卓越进行补偿，补偿股权数额=4,200万元/X-35%，X=保障</w:t>
            </w:r>
            <w:proofErr w:type="gramStart"/>
            <w:r>
              <w:rPr>
                <w:rFonts w:ascii="宋体" w:eastAsia="宋体" w:hAnsi="宋体" w:cs="宋体"/>
                <w:sz w:val="18"/>
                <w:szCs w:val="18"/>
              </w:rPr>
              <w:t>期调整净</w:t>
            </w:r>
            <w:proofErr w:type="gramEnd"/>
            <w:r>
              <w:rPr>
                <w:rFonts w:ascii="宋体" w:eastAsia="宋体" w:hAnsi="宋体" w:cs="宋体"/>
                <w:sz w:val="18"/>
                <w:szCs w:val="18"/>
              </w:rPr>
              <w:t>利润/5,100万元*12,000万元，其中保障</w:t>
            </w:r>
            <w:proofErr w:type="gramStart"/>
            <w:r>
              <w:rPr>
                <w:rFonts w:ascii="宋体" w:eastAsia="宋体" w:hAnsi="宋体" w:cs="宋体"/>
                <w:sz w:val="18"/>
                <w:szCs w:val="18"/>
              </w:rPr>
              <w:t>期调整净</w:t>
            </w:r>
            <w:proofErr w:type="gramEnd"/>
            <w:r>
              <w:rPr>
                <w:rFonts w:ascii="宋体" w:eastAsia="宋体" w:hAnsi="宋体" w:cs="宋体"/>
                <w:sz w:val="18"/>
                <w:szCs w:val="18"/>
              </w:rPr>
              <w:t>利润为</w:t>
            </w:r>
            <w:proofErr w:type="gramStart"/>
            <w:r>
              <w:rPr>
                <w:rFonts w:ascii="宋体" w:eastAsia="宋体" w:hAnsi="宋体" w:cs="宋体"/>
                <w:sz w:val="18"/>
                <w:szCs w:val="18"/>
              </w:rPr>
              <w:t>实际扣非后</w:t>
            </w:r>
            <w:proofErr w:type="gramEnd"/>
            <w:r>
              <w:rPr>
                <w:rFonts w:ascii="宋体" w:eastAsia="宋体" w:hAnsi="宋体" w:cs="宋体"/>
                <w:sz w:val="18"/>
                <w:szCs w:val="18"/>
              </w:rPr>
              <w:t>净利润与研发费用*（1-所得税税率）与国拨研发经费之和，补偿股权数额上限为郝宏伟直接或间接持有的股份数。</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2022年07月01日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rsidP="00206303">
            <w:pPr>
              <w:spacing w:line="240" w:lineRule="exact"/>
              <w:rPr>
                <w:rFonts w:ascii="宋体" w:eastAsia="宋体" w:hAnsi="宋体" w:cs="宋体"/>
                <w:sz w:val="18"/>
                <w:szCs w:val="18"/>
              </w:rPr>
            </w:pPr>
            <w:r w:rsidRPr="00206303">
              <w:rPr>
                <w:rFonts w:ascii="宋体" w:eastAsia="宋体" w:hAnsi="宋体" w:cs="宋体"/>
                <w:sz w:val="18"/>
                <w:szCs w:val="18"/>
              </w:rPr>
              <w:t>2022</w:t>
            </w:r>
            <w:r w:rsidR="00206303" w:rsidRPr="00206303">
              <w:rPr>
                <w:rFonts w:ascii="宋体" w:eastAsia="宋体" w:hAnsi="宋体" w:cs="宋体" w:hint="eastAsia"/>
                <w:sz w:val="18"/>
                <w:szCs w:val="18"/>
              </w:rPr>
              <w:t>年</w:t>
            </w:r>
            <w:r w:rsidR="00206303" w:rsidRPr="00206303">
              <w:rPr>
                <w:rFonts w:ascii="宋体" w:eastAsia="宋体" w:hAnsi="宋体" w:cs="宋体"/>
                <w:sz w:val="18"/>
                <w:szCs w:val="18"/>
              </w:rPr>
              <w:t>7</w:t>
            </w:r>
            <w:r w:rsidR="00206303" w:rsidRPr="00206303">
              <w:rPr>
                <w:rFonts w:ascii="宋体" w:eastAsia="宋体" w:hAnsi="宋体" w:cs="宋体" w:hint="eastAsia"/>
                <w:sz w:val="18"/>
                <w:szCs w:val="18"/>
              </w:rPr>
              <w:t>月</w:t>
            </w:r>
            <w:r w:rsidR="00206303" w:rsidRPr="00206303">
              <w:rPr>
                <w:rFonts w:ascii="宋体" w:eastAsia="宋体" w:hAnsi="宋体" w:cs="宋体"/>
                <w:sz w:val="18"/>
                <w:szCs w:val="18"/>
              </w:rPr>
              <w:t>1</w:t>
            </w:r>
            <w:r w:rsidR="00206303" w:rsidRPr="00206303">
              <w:rPr>
                <w:rFonts w:ascii="宋体" w:eastAsia="宋体" w:hAnsi="宋体" w:cs="宋体" w:hint="eastAsia"/>
                <w:sz w:val="18"/>
                <w:szCs w:val="18"/>
              </w:rPr>
              <w:t>日</w:t>
            </w:r>
            <w:r w:rsidRPr="00206303">
              <w:rPr>
                <w:rFonts w:ascii="宋体" w:eastAsia="宋体" w:hAnsi="宋体" w:cs="宋体"/>
                <w:sz w:val="18"/>
                <w:szCs w:val="18"/>
              </w:rPr>
              <w:t>至</w:t>
            </w:r>
            <w:r w:rsidR="00206303" w:rsidRPr="00206303">
              <w:rPr>
                <w:rFonts w:ascii="宋体" w:eastAsia="宋体" w:hAnsi="宋体" w:cs="宋体"/>
                <w:sz w:val="18"/>
                <w:szCs w:val="18"/>
              </w:rPr>
              <w:t>2025</w:t>
            </w:r>
            <w:r w:rsidR="00206303" w:rsidRPr="00206303">
              <w:rPr>
                <w:rFonts w:ascii="宋体" w:eastAsia="宋体" w:hAnsi="宋体" w:cs="宋体" w:hint="eastAsia"/>
                <w:sz w:val="18"/>
                <w:szCs w:val="18"/>
              </w:rPr>
              <w:t>年</w:t>
            </w:r>
            <w:r w:rsidR="00206303" w:rsidRPr="00206303">
              <w:rPr>
                <w:rFonts w:ascii="宋体" w:eastAsia="宋体" w:hAnsi="宋体" w:cs="宋体"/>
                <w:sz w:val="18"/>
                <w:szCs w:val="18"/>
              </w:rPr>
              <w:t>6</w:t>
            </w:r>
            <w:r w:rsidR="00206303" w:rsidRPr="00206303">
              <w:rPr>
                <w:rFonts w:ascii="宋体" w:eastAsia="宋体" w:hAnsi="宋体" w:cs="宋体" w:hint="eastAsia"/>
                <w:sz w:val="18"/>
                <w:szCs w:val="18"/>
              </w:rPr>
              <w:t>月3</w:t>
            </w:r>
            <w:r w:rsidR="00206303" w:rsidRPr="00206303">
              <w:rPr>
                <w:rFonts w:ascii="宋体" w:eastAsia="宋体" w:hAnsi="宋体" w:cs="宋体"/>
                <w:sz w:val="18"/>
                <w:szCs w:val="18"/>
              </w:rPr>
              <w:t>0</w:t>
            </w:r>
            <w:r w:rsidR="00206303" w:rsidRPr="00206303">
              <w:rPr>
                <w:rFonts w:ascii="宋体" w:eastAsia="宋体" w:hAnsi="宋体" w:cs="宋体" w:hint="eastAsia"/>
                <w:sz w:val="18"/>
                <w:szCs w:val="18"/>
              </w:rPr>
              <w:t>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正常履行中</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承诺是否按时履行</w:t>
            </w:r>
          </w:p>
        </w:tc>
        <w:tc>
          <w:tcPr>
            <w:tcW w:w="8262" w:type="dxa"/>
            <w:gridSpan w:val="6"/>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如承诺</w:t>
            </w:r>
            <w:proofErr w:type="gramEnd"/>
            <w:r>
              <w:rPr>
                <w:rFonts w:ascii="宋体" w:eastAsia="宋体" w:hAnsi="宋体" w:cs="宋体"/>
                <w:sz w:val="18"/>
                <w:szCs w:val="18"/>
              </w:rPr>
              <w:t>超期未履行完毕的，应当详细说明未完</w:t>
            </w:r>
            <w:proofErr w:type="gramStart"/>
            <w:r>
              <w:rPr>
                <w:rFonts w:ascii="宋体" w:eastAsia="宋体" w:hAnsi="宋体" w:cs="宋体"/>
                <w:sz w:val="18"/>
                <w:szCs w:val="18"/>
              </w:rPr>
              <w:t>成履行</w:t>
            </w:r>
            <w:proofErr w:type="gramEnd"/>
            <w:r>
              <w:rPr>
                <w:rFonts w:ascii="宋体" w:eastAsia="宋体" w:hAnsi="宋体" w:cs="宋体"/>
                <w:sz w:val="18"/>
                <w:szCs w:val="18"/>
              </w:rPr>
              <w:t>的具体原因及下一步的工作计划</w:t>
            </w:r>
          </w:p>
        </w:tc>
        <w:tc>
          <w:tcPr>
            <w:tcW w:w="8262" w:type="dxa"/>
            <w:gridSpan w:val="6"/>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不适用</w:t>
            </w:r>
          </w:p>
        </w:tc>
      </w:tr>
    </w:tbl>
    <w:p w:rsidR="00A27D66" w:rsidRDefault="00A2119D">
      <w:pPr>
        <w:pStyle w:val="3"/>
        <w:spacing w:line="280" w:lineRule="exact"/>
        <w:jc w:val="left"/>
        <w:rPr>
          <w:rFonts w:ascii="宋体" w:hAnsi="宋体" w:cs="宋体"/>
          <w:b/>
          <w:bCs/>
        </w:rPr>
      </w:pPr>
      <w:bookmarkStart w:id="100" w:name="_Toc988985"/>
      <w:r>
        <w:rPr>
          <w:rFonts w:ascii="宋体" w:hAnsi="宋体" w:cs="宋体"/>
          <w:b/>
          <w:bCs/>
        </w:rPr>
        <w:t>2、公司资产或项目存在盈利预测，</w:t>
      </w:r>
      <w:proofErr w:type="gramStart"/>
      <w:r>
        <w:rPr>
          <w:rFonts w:ascii="宋体" w:hAnsi="宋体" w:cs="宋体"/>
          <w:b/>
          <w:bCs/>
        </w:rPr>
        <w:t>且报告</w:t>
      </w:r>
      <w:proofErr w:type="gramEnd"/>
      <w:r>
        <w:rPr>
          <w:rFonts w:ascii="宋体" w:hAnsi="宋体" w:cs="宋体"/>
          <w:b/>
          <w:bCs/>
        </w:rPr>
        <w:t>期仍处在盈利预测期间，公司就资产或项目达到原盈利预测及其原因做出说明</w:t>
      </w:r>
      <w:bookmarkEnd w:id="100"/>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A27D66" w:rsidTr="00D02D91">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盈利预测资产或项目名称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预测起始时间</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预测终止时间</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当期预测业绩（万元）</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当期实际业绩（万元）</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未达预测的原因（如适用）</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原预测披露日期</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原预测披露索引</w:t>
            </w:r>
          </w:p>
        </w:tc>
      </w:tr>
      <w:tr w:rsidR="00D02D91" w:rsidTr="00D02D91">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D02D91" w:rsidRDefault="00D02D91" w:rsidP="00D02D91">
            <w:pPr>
              <w:spacing w:line="240" w:lineRule="exact"/>
              <w:rPr>
                <w:rFonts w:ascii="宋体" w:eastAsia="宋体" w:hAnsi="宋体" w:cs="宋体"/>
                <w:sz w:val="18"/>
                <w:szCs w:val="18"/>
              </w:rPr>
            </w:pPr>
            <w:r>
              <w:rPr>
                <w:rFonts w:ascii="宋体" w:eastAsia="宋体" w:hAnsi="宋体" w:cs="宋体"/>
                <w:sz w:val="18"/>
                <w:szCs w:val="18"/>
              </w:rPr>
              <w:t>沈阳非晶</w:t>
            </w:r>
          </w:p>
        </w:tc>
        <w:tc>
          <w:tcPr>
            <w:tcW w:w="1205" w:type="dxa"/>
            <w:tcBorders>
              <w:top w:val="single" w:sz="2" w:space="0" w:color="auto"/>
              <w:left w:val="single" w:sz="2" w:space="0" w:color="auto"/>
              <w:bottom w:val="single" w:sz="2" w:space="0" w:color="auto"/>
              <w:right w:val="single" w:sz="2" w:space="0" w:color="auto"/>
            </w:tcBorders>
            <w:vAlign w:val="center"/>
          </w:tcPr>
          <w:p w:rsidR="00D02D91" w:rsidRDefault="00D02D91" w:rsidP="00D02D91">
            <w:pPr>
              <w:spacing w:line="240" w:lineRule="exact"/>
              <w:rPr>
                <w:rFonts w:ascii="宋体" w:eastAsia="宋体" w:hAnsi="宋体" w:cs="宋体"/>
                <w:sz w:val="18"/>
                <w:szCs w:val="18"/>
              </w:rPr>
            </w:pPr>
            <w:r>
              <w:rPr>
                <w:rFonts w:ascii="宋体" w:eastAsia="宋体" w:hAnsi="宋体" w:cs="宋体"/>
                <w:sz w:val="18"/>
                <w:szCs w:val="18"/>
              </w:rPr>
              <w:t>2022年07月01日</w:t>
            </w:r>
          </w:p>
        </w:tc>
        <w:tc>
          <w:tcPr>
            <w:tcW w:w="1205" w:type="dxa"/>
            <w:tcBorders>
              <w:top w:val="single" w:sz="2" w:space="0" w:color="auto"/>
              <w:left w:val="single" w:sz="2" w:space="0" w:color="auto"/>
              <w:bottom w:val="single" w:sz="2" w:space="0" w:color="auto"/>
              <w:right w:val="single" w:sz="2" w:space="0" w:color="auto"/>
            </w:tcBorders>
            <w:vAlign w:val="center"/>
          </w:tcPr>
          <w:p w:rsidR="00D02D91" w:rsidRDefault="00D02D91" w:rsidP="00D02D91">
            <w:pPr>
              <w:spacing w:line="240" w:lineRule="exact"/>
              <w:rPr>
                <w:rFonts w:ascii="宋体" w:eastAsia="宋体" w:hAnsi="宋体" w:cs="宋体"/>
                <w:sz w:val="18"/>
                <w:szCs w:val="18"/>
              </w:rPr>
            </w:pPr>
            <w:r>
              <w:rPr>
                <w:rFonts w:ascii="宋体" w:eastAsia="宋体" w:hAnsi="宋体" w:cs="宋体"/>
                <w:sz w:val="18"/>
                <w:szCs w:val="18"/>
              </w:rPr>
              <w:t>2025年06月30日</w:t>
            </w:r>
          </w:p>
        </w:tc>
        <w:tc>
          <w:tcPr>
            <w:tcW w:w="1205" w:type="dxa"/>
            <w:tcBorders>
              <w:top w:val="single" w:sz="2" w:space="0" w:color="auto"/>
              <w:left w:val="single" w:sz="2" w:space="0" w:color="auto"/>
              <w:bottom w:val="single" w:sz="2" w:space="0" w:color="auto"/>
              <w:right w:val="single" w:sz="2" w:space="0" w:color="auto"/>
            </w:tcBorders>
            <w:vAlign w:val="center"/>
          </w:tcPr>
          <w:p w:rsidR="00D02D91" w:rsidRDefault="00D02D91" w:rsidP="00D02D91">
            <w:r w:rsidRPr="003C61B9">
              <w:rPr>
                <w:rFonts w:ascii="宋体" w:eastAsia="宋体" w:hAnsi="宋体" w:cs="宋体"/>
                <w:sz w:val="18"/>
                <w:szCs w:val="18"/>
              </w:rPr>
              <w:t>不适用</w:t>
            </w:r>
          </w:p>
        </w:tc>
        <w:tc>
          <w:tcPr>
            <w:tcW w:w="1205" w:type="dxa"/>
            <w:tcBorders>
              <w:top w:val="single" w:sz="2" w:space="0" w:color="auto"/>
              <w:left w:val="single" w:sz="2" w:space="0" w:color="auto"/>
              <w:bottom w:val="single" w:sz="2" w:space="0" w:color="auto"/>
              <w:right w:val="single" w:sz="2" w:space="0" w:color="auto"/>
            </w:tcBorders>
            <w:vAlign w:val="center"/>
          </w:tcPr>
          <w:p w:rsidR="00D02D91" w:rsidRDefault="00D02D91" w:rsidP="00D02D91">
            <w:r w:rsidRPr="003C61B9">
              <w:rPr>
                <w:rFonts w:ascii="宋体" w:eastAsia="宋体" w:hAnsi="宋体" w:cs="宋体"/>
                <w:sz w:val="18"/>
                <w:szCs w:val="18"/>
              </w:rPr>
              <w:t>不适用</w:t>
            </w:r>
          </w:p>
        </w:tc>
        <w:tc>
          <w:tcPr>
            <w:tcW w:w="1205" w:type="dxa"/>
            <w:tcBorders>
              <w:top w:val="single" w:sz="2" w:space="0" w:color="auto"/>
              <w:left w:val="single" w:sz="2" w:space="0" w:color="auto"/>
              <w:bottom w:val="single" w:sz="2" w:space="0" w:color="auto"/>
              <w:right w:val="single" w:sz="2" w:space="0" w:color="auto"/>
            </w:tcBorders>
            <w:vAlign w:val="center"/>
          </w:tcPr>
          <w:p w:rsidR="00D02D91" w:rsidRDefault="00D02D91" w:rsidP="00D02D91">
            <w:pPr>
              <w:spacing w:line="240" w:lineRule="exact"/>
              <w:rPr>
                <w:rFonts w:ascii="宋体" w:eastAsia="宋体" w:hAnsi="宋体" w:cs="宋体"/>
                <w:sz w:val="18"/>
                <w:szCs w:val="18"/>
              </w:rPr>
            </w:pPr>
            <w:r>
              <w:rPr>
                <w:rFonts w:ascii="宋体" w:eastAsia="宋体" w:hAnsi="宋体" w:cs="宋体"/>
                <w:sz w:val="18"/>
                <w:szCs w:val="18"/>
              </w:rPr>
              <w:t>不适用</w:t>
            </w:r>
          </w:p>
        </w:tc>
        <w:tc>
          <w:tcPr>
            <w:tcW w:w="1205" w:type="dxa"/>
            <w:tcBorders>
              <w:top w:val="single" w:sz="2" w:space="0" w:color="auto"/>
              <w:left w:val="single" w:sz="2" w:space="0" w:color="auto"/>
              <w:bottom w:val="single" w:sz="2" w:space="0" w:color="auto"/>
              <w:right w:val="single" w:sz="2" w:space="0" w:color="auto"/>
            </w:tcBorders>
            <w:vAlign w:val="center"/>
          </w:tcPr>
          <w:p w:rsidR="00D02D91" w:rsidRDefault="00D02D91" w:rsidP="00D02D91">
            <w:pPr>
              <w:spacing w:line="240" w:lineRule="exact"/>
              <w:rPr>
                <w:rFonts w:ascii="宋体" w:eastAsia="宋体" w:hAnsi="宋体" w:cs="宋体"/>
                <w:sz w:val="18"/>
                <w:szCs w:val="18"/>
              </w:rPr>
            </w:pPr>
            <w:r>
              <w:rPr>
                <w:rFonts w:ascii="宋体" w:eastAsia="宋体" w:hAnsi="宋体" w:cs="宋体"/>
                <w:sz w:val="18"/>
                <w:szCs w:val="18"/>
              </w:rPr>
              <w:t>2023年04月08日</w:t>
            </w:r>
          </w:p>
        </w:tc>
        <w:tc>
          <w:tcPr>
            <w:tcW w:w="1205" w:type="dxa"/>
            <w:tcBorders>
              <w:top w:val="single" w:sz="2" w:space="0" w:color="auto"/>
              <w:left w:val="single" w:sz="2" w:space="0" w:color="auto"/>
              <w:bottom w:val="single" w:sz="2" w:space="0" w:color="auto"/>
              <w:right w:val="single" w:sz="2" w:space="0" w:color="auto"/>
            </w:tcBorders>
            <w:vAlign w:val="center"/>
          </w:tcPr>
          <w:p w:rsidR="00D02D91" w:rsidRDefault="00D02D91" w:rsidP="00D02D91">
            <w:pPr>
              <w:spacing w:line="240" w:lineRule="exact"/>
              <w:rPr>
                <w:rFonts w:ascii="宋体" w:eastAsia="宋体" w:hAnsi="宋体" w:cs="宋体"/>
                <w:sz w:val="18"/>
                <w:szCs w:val="18"/>
              </w:rPr>
            </w:pPr>
            <w:r>
              <w:rPr>
                <w:rFonts w:ascii="宋体" w:eastAsia="宋体" w:hAnsi="宋体" w:cs="宋体"/>
                <w:sz w:val="18"/>
                <w:szCs w:val="18"/>
              </w:rPr>
              <w:t>巨潮资讯网（http://www.cninfo.com.cn)披露的公司《2022年度报告》</w:t>
            </w:r>
          </w:p>
        </w:tc>
      </w:tr>
    </w:tbl>
    <w:p w:rsidR="00A27D66" w:rsidRPr="000A1D01" w:rsidRDefault="00A2119D">
      <w:pPr>
        <w:spacing w:before="100" w:after="100" w:line="240" w:lineRule="exact"/>
        <w:rPr>
          <w:rFonts w:ascii="宋体" w:eastAsia="宋体" w:hAnsi="宋体" w:cs="宋体"/>
          <w:sz w:val="18"/>
          <w:szCs w:val="18"/>
        </w:rPr>
      </w:pPr>
      <w:r w:rsidRPr="000A1D01">
        <w:rPr>
          <w:rFonts w:ascii="宋体" w:eastAsia="宋体" w:hAnsi="宋体" w:cs="宋体"/>
          <w:sz w:val="18"/>
          <w:szCs w:val="18"/>
        </w:rPr>
        <w:t>公司股东、交易对手方在报告年度经营业绩做出的承诺情况</w:t>
      </w:r>
    </w:p>
    <w:p w:rsidR="000A1D01" w:rsidRPr="000A1D01" w:rsidRDefault="000A1D01" w:rsidP="000A1D01">
      <w:pPr>
        <w:spacing w:before="100" w:after="100" w:line="240" w:lineRule="exact"/>
        <w:rPr>
          <w:rFonts w:ascii="宋体" w:eastAsia="宋体" w:hAnsi="宋体" w:cs="宋体"/>
          <w:sz w:val="18"/>
          <w:szCs w:val="18"/>
        </w:rPr>
      </w:pPr>
      <w:r w:rsidRPr="000A1D01">
        <w:rPr>
          <w:rFonts w:ascii="宋体" w:eastAsia="宋体" w:hAnsi="宋体" w:cs="宋体"/>
          <w:sz w:val="18"/>
          <w:szCs w:val="18"/>
        </w:rPr>
        <w:sym w:font="Wingdings 2" w:char="F052"/>
      </w:r>
      <w:r w:rsidRPr="000A1D01">
        <w:rPr>
          <w:rFonts w:ascii="宋体" w:eastAsia="宋体" w:hAnsi="宋体" w:cs="宋体"/>
          <w:sz w:val="18"/>
          <w:szCs w:val="18"/>
        </w:rPr>
        <w:t>适用 □不适用</w:t>
      </w:r>
    </w:p>
    <w:p w:rsidR="000A1D01" w:rsidRPr="000A1D01" w:rsidRDefault="000A1D01" w:rsidP="000A1D01">
      <w:pPr>
        <w:pStyle w:val="a3"/>
        <w:spacing w:before="0" w:beforeAutospacing="0" w:after="0" w:afterAutospacing="0" w:line="360" w:lineRule="auto"/>
        <w:ind w:firstLine="561"/>
        <w:rPr>
          <w:color w:val="000000"/>
          <w:sz w:val="21"/>
          <w:szCs w:val="21"/>
        </w:rPr>
      </w:pPr>
      <w:r w:rsidRPr="000A1D01">
        <w:rPr>
          <w:rFonts w:hint="eastAsia"/>
          <w:color w:val="000000"/>
          <w:sz w:val="21"/>
          <w:szCs w:val="21"/>
        </w:rPr>
        <w:t>郝宏伟承诺：2022年7月1日至2025年6月</w:t>
      </w:r>
      <w:r w:rsidR="00F506EF">
        <w:rPr>
          <w:rFonts w:hint="eastAsia"/>
          <w:color w:val="000000"/>
          <w:sz w:val="21"/>
          <w:szCs w:val="21"/>
        </w:rPr>
        <w:t>3</w:t>
      </w:r>
      <w:r w:rsidR="00F506EF">
        <w:rPr>
          <w:color w:val="000000"/>
          <w:sz w:val="21"/>
          <w:szCs w:val="21"/>
        </w:rPr>
        <w:t>0</w:t>
      </w:r>
      <w:r w:rsidR="00F506EF">
        <w:rPr>
          <w:rFonts w:hint="eastAsia"/>
          <w:color w:val="000000"/>
          <w:sz w:val="21"/>
          <w:szCs w:val="21"/>
        </w:rPr>
        <w:t>日</w:t>
      </w:r>
      <w:r w:rsidRPr="000A1D01">
        <w:rPr>
          <w:rFonts w:hint="eastAsia"/>
          <w:color w:val="000000"/>
          <w:sz w:val="21"/>
          <w:szCs w:val="21"/>
        </w:rPr>
        <w:t>为利润保障期，在利润保障期内，沈阳</w:t>
      </w:r>
      <w:proofErr w:type="gramStart"/>
      <w:r w:rsidRPr="000A1D01">
        <w:rPr>
          <w:rFonts w:hint="eastAsia"/>
          <w:color w:val="000000"/>
          <w:sz w:val="21"/>
          <w:szCs w:val="21"/>
        </w:rPr>
        <w:t>非晶经审定</w:t>
      </w:r>
      <w:proofErr w:type="gramEnd"/>
      <w:r w:rsidRPr="000A1D01">
        <w:rPr>
          <w:rFonts w:hint="eastAsia"/>
          <w:color w:val="000000"/>
          <w:sz w:val="21"/>
          <w:szCs w:val="21"/>
        </w:rPr>
        <w:t>的三年合计</w:t>
      </w:r>
      <w:proofErr w:type="gramStart"/>
      <w:r w:rsidRPr="000A1D01">
        <w:rPr>
          <w:rFonts w:hint="eastAsia"/>
          <w:color w:val="000000"/>
          <w:sz w:val="21"/>
          <w:szCs w:val="21"/>
        </w:rPr>
        <w:t>税后保障期调整净</w:t>
      </w:r>
      <w:proofErr w:type="gramEnd"/>
      <w:r w:rsidRPr="000A1D01">
        <w:rPr>
          <w:rFonts w:hint="eastAsia"/>
          <w:color w:val="000000"/>
          <w:sz w:val="21"/>
          <w:szCs w:val="21"/>
        </w:rPr>
        <w:t>利润与研发费用之和不低于5,100万元。</w:t>
      </w:r>
    </w:p>
    <w:p w:rsidR="000A1D01" w:rsidRPr="000A1D01" w:rsidRDefault="000A1D01" w:rsidP="000A1D01">
      <w:pPr>
        <w:pStyle w:val="a3"/>
        <w:spacing w:before="0" w:beforeAutospacing="0" w:after="0" w:afterAutospacing="0" w:line="360" w:lineRule="auto"/>
        <w:ind w:firstLine="561"/>
        <w:rPr>
          <w:color w:val="000000"/>
          <w:sz w:val="21"/>
          <w:szCs w:val="21"/>
        </w:rPr>
      </w:pPr>
      <w:r w:rsidRPr="000A1D01">
        <w:rPr>
          <w:rFonts w:hint="eastAsia"/>
          <w:color w:val="000000"/>
          <w:sz w:val="21"/>
          <w:szCs w:val="21"/>
        </w:rPr>
        <w:t>若未实现业绩承诺，则甘化科工或福建卓越有权要求郝宏伟和/或三明超越以沈阳非晶的股权无偿转让至甘化科工和/或福建卓越进行补偿，补偿股权数额=4,200万元/X-35%，X=保障</w:t>
      </w:r>
      <w:proofErr w:type="gramStart"/>
      <w:r w:rsidRPr="000A1D01">
        <w:rPr>
          <w:rFonts w:hint="eastAsia"/>
          <w:color w:val="000000"/>
          <w:sz w:val="21"/>
          <w:szCs w:val="21"/>
        </w:rPr>
        <w:t>期调整净</w:t>
      </w:r>
      <w:proofErr w:type="gramEnd"/>
      <w:r w:rsidRPr="000A1D01">
        <w:rPr>
          <w:rFonts w:hint="eastAsia"/>
          <w:color w:val="000000"/>
          <w:sz w:val="21"/>
          <w:szCs w:val="21"/>
        </w:rPr>
        <w:t>利润/5,100万元*12,000万元，其中保障</w:t>
      </w:r>
      <w:proofErr w:type="gramStart"/>
      <w:r w:rsidRPr="000A1D01">
        <w:rPr>
          <w:rFonts w:hint="eastAsia"/>
          <w:color w:val="000000"/>
          <w:sz w:val="21"/>
          <w:szCs w:val="21"/>
        </w:rPr>
        <w:t>期调整净</w:t>
      </w:r>
      <w:proofErr w:type="gramEnd"/>
      <w:r w:rsidRPr="000A1D01">
        <w:rPr>
          <w:rFonts w:hint="eastAsia"/>
          <w:color w:val="000000"/>
          <w:sz w:val="21"/>
          <w:szCs w:val="21"/>
        </w:rPr>
        <w:t>利润为</w:t>
      </w:r>
      <w:proofErr w:type="gramStart"/>
      <w:r w:rsidRPr="000A1D01">
        <w:rPr>
          <w:rFonts w:hint="eastAsia"/>
          <w:color w:val="000000"/>
          <w:sz w:val="21"/>
          <w:szCs w:val="21"/>
        </w:rPr>
        <w:t>实际扣非后</w:t>
      </w:r>
      <w:proofErr w:type="gramEnd"/>
      <w:r w:rsidRPr="000A1D01">
        <w:rPr>
          <w:rFonts w:hint="eastAsia"/>
          <w:color w:val="000000"/>
          <w:sz w:val="21"/>
          <w:szCs w:val="21"/>
        </w:rPr>
        <w:t>净利润与研发费用*（1-所得税税率）与国拨研发经费之和，补偿股权数额上限为郝宏伟直接或间接持有的股份数。</w:t>
      </w:r>
    </w:p>
    <w:p w:rsidR="00A27D66" w:rsidRPr="000A1D01" w:rsidRDefault="00A2119D">
      <w:pPr>
        <w:spacing w:before="100" w:after="100" w:line="240" w:lineRule="exact"/>
        <w:rPr>
          <w:rFonts w:ascii="宋体" w:eastAsia="宋体" w:hAnsi="宋体" w:cs="宋体"/>
          <w:sz w:val="18"/>
          <w:szCs w:val="18"/>
        </w:rPr>
      </w:pPr>
      <w:r w:rsidRPr="000A1D01">
        <w:rPr>
          <w:rFonts w:ascii="宋体" w:eastAsia="宋体" w:hAnsi="宋体" w:cs="宋体"/>
          <w:sz w:val="18"/>
          <w:szCs w:val="18"/>
        </w:rPr>
        <w:t>业绩承诺的完成情况及其对商誉减值测试的影响</w:t>
      </w:r>
    </w:p>
    <w:p w:rsidR="00A2119D" w:rsidRPr="00003D92" w:rsidRDefault="00A2119D" w:rsidP="00003D92">
      <w:pPr>
        <w:pStyle w:val="a3"/>
        <w:spacing w:before="0" w:beforeAutospacing="0" w:after="0" w:afterAutospacing="0" w:line="360" w:lineRule="auto"/>
        <w:ind w:firstLine="561"/>
        <w:jc w:val="both"/>
        <w:divId w:val="1864897527"/>
        <w:rPr>
          <w:color w:val="000000"/>
          <w:sz w:val="21"/>
          <w:szCs w:val="21"/>
        </w:rPr>
      </w:pPr>
      <w:r w:rsidRPr="000A1D01">
        <w:rPr>
          <w:rFonts w:hint="eastAsia"/>
          <w:color w:val="000000"/>
          <w:sz w:val="21"/>
          <w:szCs w:val="21"/>
        </w:rPr>
        <w:lastRenderedPageBreak/>
        <w:t>上述沈阳非晶的业绩承诺尚在利润保障期。公司已委托外部专业评估机构对本报告期末沈阳非晶并购过程中形成的商誉进行了减值测试。经测试，沈阳非</w:t>
      </w:r>
      <w:proofErr w:type="gramStart"/>
      <w:r w:rsidRPr="000A1D01">
        <w:rPr>
          <w:rFonts w:hint="eastAsia"/>
          <w:color w:val="000000"/>
          <w:sz w:val="21"/>
          <w:szCs w:val="21"/>
        </w:rPr>
        <w:t>晶目前</w:t>
      </w:r>
      <w:proofErr w:type="gramEnd"/>
      <w:r w:rsidRPr="000A1D01">
        <w:rPr>
          <w:rFonts w:hint="eastAsia"/>
          <w:color w:val="000000"/>
          <w:sz w:val="21"/>
          <w:szCs w:val="21"/>
        </w:rPr>
        <w:t>不存在减值。</w:t>
      </w:r>
    </w:p>
    <w:p w:rsidR="00A27D66" w:rsidRDefault="00A2119D">
      <w:pPr>
        <w:pStyle w:val="2"/>
        <w:spacing w:before="300" w:after="300" w:line="320" w:lineRule="exact"/>
        <w:rPr>
          <w:rFonts w:ascii="宋体" w:eastAsia="宋体" w:hAnsi="宋体" w:cs="宋体"/>
          <w:b/>
          <w:bCs/>
          <w:sz w:val="24"/>
          <w:szCs w:val="24"/>
        </w:rPr>
      </w:pPr>
      <w:bookmarkStart w:id="101" w:name="_Toc988986"/>
      <w:r>
        <w:rPr>
          <w:rFonts w:ascii="宋体" w:eastAsia="宋体" w:hAnsi="宋体" w:cs="宋体"/>
          <w:b/>
          <w:bCs/>
          <w:sz w:val="24"/>
          <w:szCs w:val="24"/>
        </w:rPr>
        <w:t>二、控股股东及其他关联方对上市公司的非经营性占用资金情况</w:t>
      </w:r>
      <w:bookmarkEnd w:id="101"/>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公司报告期不存在控股股东及其他关联方对上市公司的非经营性占用资金。</w:t>
      </w:r>
    </w:p>
    <w:p w:rsidR="00A27D66" w:rsidRDefault="00A2119D">
      <w:pPr>
        <w:pStyle w:val="2"/>
        <w:spacing w:before="300" w:after="300" w:line="320" w:lineRule="exact"/>
        <w:rPr>
          <w:rFonts w:ascii="宋体" w:eastAsia="宋体" w:hAnsi="宋体" w:cs="宋体"/>
          <w:b/>
          <w:bCs/>
          <w:sz w:val="24"/>
          <w:szCs w:val="24"/>
        </w:rPr>
      </w:pPr>
      <w:bookmarkStart w:id="102" w:name="_Toc988987"/>
      <w:r>
        <w:rPr>
          <w:rFonts w:ascii="宋体" w:eastAsia="宋体" w:hAnsi="宋体" w:cs="宋体"/>
          <w:b/>
          <w:bCs/>
          <w:sz w:val="24"/>
          <w:szCs w:val="24"/>
        </w:rPr>
        <w:t>三、违规对外担保情况</w:t>
      </w:r>
      <w:bookmarkEnd w:id="102"/>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公司报告期无违规对外担保情况。</w:t>
      </w:r>
    </w:p>
    <w:p w:rsidR="00A27D66" w:rsidRDefault="00A2119D">
      <w:pPr>
        <w:pStyle w:val="2"/>
        <w:spacing w:before="300" w:after="300" w:line="320" w:lineRule="exact"/>
        <w:rPr>
          <w:rFonts w:ascii="宋体" w:eastAsia="宋体" w:hAnsi="宋体" w:cs="宋体"/>
          <w:b/>
          <w:bCs/>
          <w:sz w:val="24"/>
          <w:szCs w:val="24"/>
        </w:rPr>
      </w:pPr>
      <w:bookmarkStart w:id="103" w:name="_Toc988988"/>
      <w:r>
        <w:rPr>
          <w:rFonts w:ascii="宋体" w:eastAsia="宋体" w:hAnsi="宋体" w:cs="宋体"/>
          <w:b/>
          <w:bCs/>
          <w:sz w:val="24"/>
          <w:szCs w:val="24"/>
        </w:rPr>
        <w:t>四、董事会对最近一期“非标准审计报告”相关情况的说明</w:t>
      </w:r>
      <w:bookmarkEnd w:id="103"/>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104" w:name="_Toc988989"/>
      <w:r>
        <w:rPr>
          <w:rFonts w:ascii="宋体" w:eastAsia="宋体" w:hAnsi="宋体" w:cs="宋体"/>
          <w:b/>
          <w:bCs/>
          <w:sz w:val="24"/>
          <w:szCs w:val="24"/>
        </w:rPr>
        <w:t>五、董事会、监事会、独立董事（如有）对会计师事务所本报告期“非标准审计报告”的说明</w:t>
      </w:r>
      <w:bookmarkEnd w:id="104"/>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105" w:name="_Toc988990"/>
      <w:r>
        <w:rPr>
          <w:rFonts w:ascii="宋体" w:eastAsia="宋体" w:hAnsi="宋体" w:cs="宋体"/>
          <w:b/>
          <w:bCs/>
          <w:sz w:val="24"/>
          <w:szCs w:val="24"/>
        </w:rPr>
        <w:t xml:space="preserve">六、与上年度财务报告相比，会计政策、会计估计变更或重大会计差错更正的情况说明 </w:t>
      </w:r>
      <w:bookmarkEnd w:id="105"/>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公司报告期无会计政策、会计估计变更或重大会计差错更正的情况。</w:t>
      </w:r>
    </w:p>
    <w:p w:rsidR="00A27D66" w:rsidRDefault="00A2119D">
      <w:pPr>
        <w:pStyle w:val="2"/>
        <w:spacing w:before="300" w:after="300" w:line="320" w:lineRule="exact"/>
        <w:rPr>
          <w:rFonts w:ascii="宋体" w:eastAsia="宋体" w:hAnsi="宋体" w:cs="宋体"/>
          <w:b/>
          <w:bCs/>
          <w:sz w:val="24"/>
          <w:szCs w:val="24"/>
        </w:rPr>
      </w:pPr>
      <w:bookmarkStart w:id="106" w:name="_Toc988991"/>
      <w:r>
        <w:rPr>
          <w:rFonts w:ascii="宋体" w:eastAsia="宋体" w:hAnsi="宋体" w:cs="宋体"/>
          <w:b/>
          <w:bCs/>
          <w:sz w:val="24"/>
          <w:szCs w:val="24"/>
        </w:rPr>
        <w:t>七、与上年度财务报告相比，合并报表范围发生变化的情况说明</w:t>
      </w:r>
      <w:bookmarkEnd w:id="106"/>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119D" w:rsidRPr="005B3979" w:rsidRDefault="00A2119D" w:rsidP="005B3979">
      <w:pPr>
        <w:spacing w:before="100" w:after="100" w:line="240" w:lineRule="exact"/>
        <w:divId w:val="184369067"/>
        <w:rPr>
          <w:rFonts w:ascii="宋体" w:eastAsia="宋体" w:hAnsi="宋体" w:cs="宋体"/>
          <w:sz w:val="18"/>
          <w:szCs w:val="18"/>
        </w:rPr>
      </w:pPr>
      <w:r w:rsidRPr="005B3979">
        <w:rPr>
          <w:rFonts w:ascii="宋体" w:eastAsia="宋体" w:hAnsi="宋体" w:cs="宋体" w:hint="eastAsia"/>
          <w:sz w:val="18"/>
          <w:szCs w:val="18"/>
        </w:rPr>
        <w:t>本期增加合并单位：聚能合源</w:t>
      </w:r>
    </w:p>
    <w:p w:rsidR="00A2119D" w:rsidRPr="005B3979" w:rsidRDefault="00A2119D" w:rsidP="005B3979">
      <w:pPr>
        <w:spacing w:before="100" w:after="100" w:line="240" w:lineRule="exact"/>
        <w:divId w:val="505900805"/>
        <w:rPr>
          <w:rFonts w:ascii="宋体" w:eastAsia="宋体" w:hAnsi="宋体" w:cs="宋体"/>
          <w:sz w:val="18"/>
          <w:szCs w:val="18"/>
        </w:rPr>
      </w:pPr>
      <w:r w:rsidRPr="005B3979">
        <w:rPr>
          <w:rFonts w:ascii="宋体" w:eastAsia="宋体" w:hAnsi="宋体" w:cs="宋体" w:hint="eastAsia"/>
          <w:sz w:val="18"/>
          <w:szCs w:val="18"/>
        </w:rPr>
        <w:t>升华电源本期通过收购股权方式取得北京聚能合源科技有限公司100%股权，于2024年1月完成工商变更，本期纳入合并报表范围。</w:t>
      </w:r>
    </w:p>
    <w:p w:rsidR="00A2119D" w:rsidRPr="005B3979" w:rsidRDefault="00A2119D" w:rsidP="005B3979">
      <w:pPr>
        <w:spacing w:before="100" w:after="100" w:line="240" w:lineRule="exact"/>
        <w:divId w:val="938102181"/>
        <w:rPr>
          <w:rFonts w:ascii="宋体" w:eastAsia="宋体" w:hAnsi="宋体" w:cs="宋体"/>
          <w:sz w:val="18"/>
          <w:szCs w:val="18"/>
        </w:rPr>
      </w:pPr>
      <w:r w:rsidRPr="005B3979">
        <w:rPr>
          <w:rFonts w:ascii="宋体" w:eastAsia="宋体" w:hAnsi="宋体" w:cs="宋体" w:hint="eastAsia"/>
          <w:sz w:val="18"/>
          <w:szCs w:val="18"/>
        </w:rPr>
        <w:t>本期减少合并单位：</w:t>
      </w:r>
      <w:proofErr w:type="gramStart"/>
      <w:r w:rsidRPr="005B3979">
        <w:rPr>
          <w:rFonts w:ascii="宋体" w:eastAsia="宋体" w:hAnsi="宋体" w:cs="宋体" w:hint="eastAsia"/>
          <w:sz w:val="18"/>
          <w:szCs w:val="18"/>
        </w:rPr>
        <w:t>德芯源</w:t>
      </w:r>
      <w:proofErr w:type="gramEnd"/>
    </w:p>
    <w:p w:rsidR="00A2119D" w:rsidRPr="005B3979" w:rsidRDefault="00A2119D" w:rsidP="005B3979">
      <w:pPr>
        <w:spacing w:before="100" w:after="100" w:line="240" w:lineRule="exact"/>
        <w:divId w:val="1544749175"/>
        <w:rPr>
          <w:rFonts w:ascii="宋体" w:eastAsia="宋体" w:hAnsi="宋体" w:cs="宋体"/>
          <w:sz w:val="18"/>
          <w:szCs w:val="18"/>
        </w:rPr>
      </w:pPr>
      <w:r w:rsidRPr="005B3979">
        <w:rPr>
          <w:rFonts w:ascii="宋体" w:eastAsia="宋体" w:hAnsi="宋体" w:cs="宋体" w:hint="eastAsia"/>
          <w:sz w:val="18"/>
          <w:szCs w:val="18"/>
        </w:rPr>
        <w:t>升华电源本期通过出售股权方式处置子公司四川德芯源电子科技有限公司全部股权，自2024年7月起不纳入合并范围。 </w:t>
      </w:r>
    </w:p>
    <w:p w:rsidR="00A27D66" w:rsidRDefault="00A2119D">
      <w:pPr>
        <w:pStyle w:val="2"/>
        <w:spacing w:before="300" w:after="300" w:line="320" w:lineRule="exact"/>
        <w:rPr>
          <w:rFonts w:ascii="宋体" w:eastAsia="宋体" w:hAnsi="宋体" w:cs="宋体"/>
          <w:b/>
          <w:bCs/>
          <w:sz w:val="24"/>
          <w:szCs w:val="24"/>
        </w:rPr>
      </w:pPr>
      <w:bookmarkStart w:id="107" w:name="_Toc988992"/>
      <w:r>
        <w:rPr>
          <w:rFonts w:ascii="宋体" w:eastAsia="宋体" w:hAnsi="宋体" w:cs="宋体"/>
          <w:b/>
          <w:bCs/>
          <w:sz w:val="24"/>
          <w:szCs w:val="24"/>
        </w:rPr>
        <w:t>八、聘任、解聘会计师事务所情况</w:t>
      </w:r>
      <w:bookmarkEnd w:id="107"/>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现聘任的会计师事务所</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广东司农会计师事务所（特殊普通合伙）</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境内会计师事务所报酬（万元）</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3</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刘火旺、梁剑云</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境内会计师事务所注册会计师审计服务的连续年限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刘火旺2年，梁剑云3年</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当期是否改聘会计师事务所</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聘请内部控制审计会计师事务所、财务顾问或保荐人情况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119D" w:rsidRPr="00003D92" w:rsidRDefault="00A2119D" w:rsidP="00003D92">
      <w:pPr>
        <w:pStyle w:val="a3"/>
        <w:spacing w:before="0" w:beforeAutospacing="0" w:after="0" w:afterAutospacing="0" w:line="360" w:lineRule="auto"/>
        <w:ind w:firstLine="561"/>
        <w:jc w:val="both"/>
        <w:divId w:val="1994522954"/>
        <w:rPr>
          <w:color w:val="000000"/>
          <w:sz w:val="21"/>
          <w:szCs w:val="21"/>
        </w:rPr>
      </w:pPr>
      <w:r w:rsidRPr="005B3979">
        <w:rPr>
          <w:rFonts w:hint="eastAsia"/>
          <w:color w:val="000000"/>
          <w:sz w:val="21"/>
          <w:szCs w:val="21"/>
        </w:rPr>
        <w:t>本年度，公司聘请广东司农会计师事务所(特殊普通合伙)为内部控制审计会计师事务所，期间共支付审计费25万元。</w:t>
      </w:r>
    </w:p>
    <w:p w:rsidR="00A27D66" w:rsidRDefault="00A2119D">
      <w:pPr>
        <w:pStyle w:val="2"/>
        <w:spacing w:before="300" w:after="300" w:line="320" w:lineRule="exact"/>
        <w:rPr>
          <w:rFonts w:ascii="宋体" w:eastAsia="宋体" w:hAnsi="宋体" w:cs="宋体"/>
          <w:b/>
          <w:bCs/>
          <w:sz w:val="24"/>
          <w:szCs w:val="24"/>
        </w:rPr>
      </w:pPr>
      <w:bookmarkStart w:id="108" w:name="_Toc988993"/>
      <w:r>
        <w:rPr>
          <w:rFonts w:ascii="宋体" w:eastAsia="宋体" w:hAnsi="宋体" w:cs="宋体"/>
          <w:b/>
          <w:bCs/>
          <w:sz w:val="24"/>
          <w:szCs w:val="24"/>
        </w:rPr>
        <w:t>九、年度报告披露后面临退市情况</w:t>
      </w:r>
      <w:bookmarkEnd w:id="108"/>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109" w:name="_Toc988994"/>
      <w:r>
        <w:rPr>
          <w:rFonts w:ascii="宋体" w:eastAsia="宋体" w:hAnsi="宋体" w:cs="宋体"/>
          <w:b/>
          <w:bCs/>
          <w:sz w:val="24"/>
          <w:szCs w:val="24"/>
        </w:rPr>
        <w:t>十、破产重整相关事项</w:t>
      </w:r>
      <w:bookmarkEnd w:id="109"/>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公司报告期未发生破产重整相关事项。</w:t>
      </w:r>
    </w:p>
    <w:p w:rsidR="00A27D66" w:rsidRDefault="00A2119D">
      <w:pPr>
        <w:pStyle w:val="2"/>
        <w:spacing w:before="300" w:after="300" w:line="320" w:lineRule="exact"/>
        <w:rPr>
          <w:rFonts w:ascii="宋体" w:eastAsia="宋体" w:hAnsi="宋体" w:cs="宋体"/>
          <w:b/>
          <w:bCs/>
          <w:sz w:val="24"/>
          <w:szCs w:val="24"/>
        </w:rPr>
      </w:pPr>
      <w:bookmarkStart w:id="110" w:name="_Toc988995"/>
      <w:r>
        <w:rPr>
          <w:rFonts w:ascii="宋体" w:eastAsia="宋体" w:hAnsi="宋体" w:cs="宋体"/>
          <w:b/>
          <w:bCs/>
          <w:sz w:val="24"/>
          <w:szCs w:val="24"/>
        </w:rPr>
        <w:t>十一、重大诉讼、仲裁事项</w:t>
      </w:r>
      <w:bookmarkEnd w:id="110"/>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本报告期公司无重大诉讼、仲裁事项。</w:t>
      </w:r>
    </w:p>
    <w:p w:rsidR="00A27D66" w:rsidRDefault="00A2119D">
      <w:pPr>
        <w:pStyle w:val="2"/>
        <w:spacing w:before="300" w:after="300" w:line="320" w:lineRule="exact"/>
        <w:rPr>
          <w:rFonts w:ascii="宋体" w:eastAsia="宋体" w:hAnsi="宋体" w:cs="宋体"/>
          <w:b/>
          <w:bCs/>
          <w:sz w:val="24"/>
          <w:szCs w:val="24"/>
        </w:rPr>
      </w:pPr>
      <w:bookmarkStart w:id="111" w:name="_Toc988996"/>
      <w:r>
        <w:rPr>
          <w:rFonts w:ascii="宋体" w:eastAsia="宋体" w:hAnsi="宋体" w:cs="宋体"/>
          <w:b/>
          <w:bCs/>
          <w:sz w:val="24"/>
          <w:szCs w:val="24"/>
        </w:rPr>
        <w:t>十二、处罚及整改情况</w:t>
      </w:r>
      <w:bookmarkEnd w:id="111"/>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公司报告期不存在处罚及整改情况。</w:t>
      </w:r>
    </w:p>
    <w:p w:rsidR="00A27D66" w:rsidRDefault="00A2119D">
      <w:pPr>
        <w:pStyle w:val="2"/>
        <w:spacing w:before="300" w:after="300" w:line="320" w:lineRule="exact"/>
        <w:rPr>
          <w:rFonts w:ascii="宋体" w:eastAsia="宋体" w:hAnsi="宋体" w:cs="宋体"/>
          <w:b/>
          <w:bCs/>
          <w:sz w:val="24"/>
          <w:szCs w:val="24"/>
        </w:rPr>
      </w:pPr>
      <w:bookmarkStart w:id="112" w:name="_Toc988997"/>
      <w:r>
        <w:rPr>
          <w:rFonts w:ascii="宋体" w:eastAsia="宋体" w:hAnsi="宋体" w:cs="宋体"/>
          <w:b/>
          <w:bCs/>
          <w:sz w:val="24"/>
          <w:szCs w:val="24"/>
        </w:rPr>
        <w:t>十三、公司及其控股股东、实际控制人的诚信状况</w:t>
      </w:r>
      <w:bookmarkEnd w:id="112"/>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113" w:name="_Toc988998"/>
      <w:r>
        <w:rPr>
          <w:rFonts w:ascii="宋体" w:eastAsia="宋体" w:hAnsi="宋体" w:cs="宋体"/>
          <w:b/>
          <w:bCs/>
          <w:sz w:val="24"/>
          <w:szCs w:val="24"/>
        </w:rPr>
        <w:t>十四、重大关联交易</w:t>
      </w:r>
      <w:bookmarkEnd w:id="113"/>
    </w:p>
    <w:p w:rsidR="00A27D66" w:rsidRDefault="00A2119D">
      <w:pPr>
        <w:pStyle w:val="3"/>
        <w:spacing w:line="280" w:lineRule="exact"/>
        <w:jc w:val="left"/>
        <w:rPr>
          <w:rFonts w:ascii="宋体" w:hAnsi="宋体" w:cs="宋体"/>
          <w:b/>
          <w:bCs/>
        </w:rPr>
      </w:pPr>
      <w:bookmarkStart w:id="114" w:name="_Toc988999"/>
      <w:r>
        <w:rPr>
          <w:rFonts w:ascii="宋体" w:hAnsi="宋体" w:cs="宋体"/>
          <w:b/>
          <w:bCs/>
        </w:rPr>
        <w:t>1、与日常经营相关的关联交易</w:t>
      </w:r>
      <w:bookmarkEnd w:id="114"/>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公司报告期未发生与日常经营相关的关联交易。</w:t>
      </w:r>
    </w:p>
    <w:p w:rsidR="00A27D66" w:rsidRDefault="00A2119D">
      <w:pPr>
        <w:pStyle w:val="3"/>
        <w:spacing w:line="280" w:lineRule="exact"/>
        <w:jc w:val="left"/>
        <w:rPr>
          <w:rFonts w:ascii="宋体" w:hAnsi="宋体" w:cs="宋体"/>
          <w:b/>
          <w:bCs/>
        </w:rPr>
      </w:pPr>
      <w:bookmarkStart w:id="115" w:name="_Toc989000"/>
      <w:r>
        <w:rPr>
          <w:rFonts w:ascii="宋体" w:hAnsi="宋体" w:cs="宋体"/>
          <w:b/>
          <w:bCs/>
        </w:rPr>
        <w:t>2、资产或股权收购、出售发生的关联交易</w:t>
      </w:r>
      <w:bookmarkEnd w:id="115"/>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公司报告期未发生资产或股权收购、出售的关联交易。</w:t>
      </w:r>
    </w:p>
    <w:p w:rsidR="00A27D66" w:rsidRDefault="00A2119D">
      <w:pPr>
        <w:pStyle w:val="3"/>
        <w:spacing w:line="280" w:lineRule="exact"/>
        <w:jc w:val="left"/>
        <w:rPr>
          <w:rFonts w:ascii="宋体" w:hAnsi="宋体" w:cs="宋体"/>
          <w:b/>
          <w:bCs/>
        </w:rPr>
      </w:pPr>
      <w:bookmarkStart w:id="116" w:name="_Toc989001"/>
      <w:r>
        <w:rPr>
          <w:rFonts w:ascii="宋体" w:hAnsi="宋体" w:cs="宋体"/>
          <w:b/>
          <w:bCs/>
        </w:rPr>
        <w:t>3、共同对外投资的关联交易</w:t>
      </w:r>
      <w:bookmarkEnd w:id="116"/>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公司报告期未发生共同对外投资的关联交易。</w:t>
      </w:r>
    </w:p>
    <w:p w:rsidR="00A27D66" w:rsidRDefault="00A2119D">
      <w:pPr>
        <w:pStyle w:val="3"/>
        <w:spacing w:line="280" w:lineRule="exact"/>
        <w:jc w:val="left"/>
        <w:rPr>
          <w:rFonts w:ascii="宋体" w:hAnsi="宋体" w:cs="宋体"/>
          <w:b/>
          <w:bCs/>
        </w:rPr>
      </w:pPr>
      <w:bookmarkStart w:id="117" w:name="_Toc989002"/>
      <w:r>
        <w:rPr>
          <w:rFonts w:ascii="宋体" w:hAnsi="宋体" w:cs="宋体"/>
          <w:b/>
          <w:bCs/>
        </w:rPr>
        <w:t>4、关联债权债务往来</w:t>
      </w:r>
      <w:bookmarkEnd w:id="117"/>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公司报告期不存在关联债权债务往来。</w:t>
      </w:r>
    </w:p>
    <w:p w:rsidR="00A27D66" w:rsidRDefault="00A2119D">
      <w:pPr>
        <w:pStyle w:val="3"/>
        <w:spacing w:line="280" w:lineRule="exact"/>
        <w:jc w:val="left"/>
        <w:rPr>
          <w:rFonts w:ascii="宋体" w:hAnsi="宋体" w:cs="宋体"/>
          <w:b/>
          <w:bCs/>
        </w:rPr>
      </w:pPr>
      <w:bookmarkStart w:id="118" w:name="_Toc989003"/>
      <w:r>
        <w:rPr>
          <w:rFonts w:ascii="宋体" w:hAnsi="宋体" w:cs="宋体"/>
          <w:b/>
          <w:bCs/>
        </w:rPr>
        <w:t>5、与存在关联关系的财务公司的往来情况</w:t>
      </w:r>
      <w:bookmarkEnd w:id="118"/>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公司与存在关联关系的财务公司与关联方之间不存在存款、贷款、授信或其他金融业务。</w:t>
      </w:r>
    </w:p>
    <w:p w:rsidR="00A27D66" w:rsidRDefault="00A2119D">
      <w:pPr>
        <w:pStyle w:val="3"/>
        <w:spacing w:line="280" w:lineRule="exact"/>
        <w:jc w:val="left"/>
        <w:rPr>
          <w:rFonts w:ascii="宋体" w:hAnsi="宋体" w:cs="宋体"/>
          <w:b/>
          <w:bCs/>
        </w:rPr>
      </w:pPr>
      <w:bookmarkStart w:id="119" w:name="_Toc989004"/>
      <w:r>
        <w:rPr>
          <w:rFonts w:ascii="宋体" w:hAnsi="宋体" w:cs="宋体"/>
          <w:b/>
          <w:bCs/>
        </w:rPr>
        <w:t>6、公司控股的财务公司与关联方的往来情况</w:t>
      </w:r>
      <w:bookmarkEnd w:id="119"/>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公司控股的财务公司与关联方之间不存在存款、贷款、授信或其他金融业务。</w:t>
      </w:r>
    </w:p>
    <w:p w:rsidR="00A27D66" w:rsidRDefault="00A2119D">
      <w:pPr>
        <w:pStyle w:val="3"/>
        <w:spacing w:line="280" w:lineRule="exact"/>
        <w:jc w:val="left"/>
        <w:rPr>
          <w:rFonts w:ascii="宋体" w:hAnsi="宋体" w:cs="宋体"/>
          <w:b/>
          <w:bCs/>
        </w:rPr>
      </w:pPr>
      <w:bookmarkStart w:id="120" w:name="_Toc989005"/>
      <w:r>
        <w:rPr>
          <w:rFonts w:ascii="宋体" w:hAnsi="宋体" w:cs="宋体"/>
          <w:b/>
          <w:bCs/>
        </w:rPr>
        <w:t>7、其他重大关联交易</w:t>
      </w:r>
      <w:bookmarkEnd w:id="120"/>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119D" w:rsidRPr="00003D92" w:rsidRDefault="00A2119D" w:rsidP="00003D92">
      <w:pPr>
        <w:pStyle w:val="a3"/>
        <w:spacing w:before="0" w:beforeAutospacing="0" w:after="0" w:afterAutospacing="0" w:line="360" w:lineRule="auto"/>
        <w:ind w:firstLine="561"/>
        <w:jc w:val="both"/>
        <w:divId w:val="157039068"/>
        <w:rPr>
          <w:color w:val="000000"/>
          <w:sz w:val="21"/>
          <w:szCs w:val="21"/>
        </w:rPr>
      </w:pPr>
      <w:r w:rsidRPr="00003D92">
        <w:rPr>
          <w:rFonts w:hint="eastAsia"/>
          <w:color w:val="000000"/>
          <w:sz w:val="21"/>
          <w:szCs w:val="21"/>
        </w:rPr>
        <w:t>公司于2024年4月10日召开第十一届董事会第三次会议审议通过了《关于关联方增资本公司参股公司暨关联交易的议案》。因业务发展需要，深圳</w:t>
      </w:r>
      <w:proofErr w:type="gramStart"/>
      <w:r w:rsidRPr="00003D92">
        <w:rPr>
          <w:rFonts w:hint="eastAsia"/>
          <w:color w:val="000000"/>
          <w:sz w:val="21"/>
          <w:szCs w:val="21"/>
        </w:rPr>
        <w:t>陆巡拟</w:t>
      </w:r>
      <w:proofErr w:type="gramEnd"/>
      <w:r w:rsidRPr="00003D92">
        <w:rPr>
          <w:rFonts w:hint="eastAsia"/>
          <w:color w:val="000000"/>
          <w:sz w:val="21"/>
          <w:szCs w:val="21"/>
        </w:rPr>
        <w:t>以增资的方式引入战略投资者共同推动该公司发展。经各方友好协商，公司放弃本次增资的优先认购权，由苏州创芯投资有限公司（以下简称“苏州创芯”）向深圳</w:t>
      </w:r>
      <w:proofErr w:type="gramStart"/>
      <w:r w:rsidRPr="00003D92">
        <w:rPr>
          <w:rFonts w:hint="eastAsia"/>
          <w:color w:val="000000"/>
          <w:sz w:val="21"/>
          <w:szCs w:val="21"/>
        </w:rPr>
        <w:t>陆巡投资</w:t>
      </w:r>
      <w:proofErr w:type="gramEnd"/>
      <w:r w:rsidRPr="00003D92">
        <w:rPr>
          <w:rFonts w:hint="eastAsia"/>
          <w:color w:val="000000"/>
          <w:sz w:val="21"/>
          <w:szCs w:val="21"/>
        </w:rPr>
        <w:t>1,000万元进行增资，认缴</w:t>
      </w:r>
      <w:proofErr w:type="gramStart"/>
      <w:r w:rsidRPr="00003D92">
        <w:rPr>
          <w:rFonts w:hint="eastAsia"/>
          <w:color w:val="000000"/>
          <w:sz w:val="21"/>
          <w:szCs w:val="21"/>
        </w:rPr>
        <w:t>深圳陆巡</w:t>
      </w:r>
      <w:proofErr w:type="gramEnd"/>
      <w:r w:rsidRPr="00003D92">
        <w:rPr>
          <w:rFonts w:hint="eastAsia"/>
          <w:color w:val="000000"/>
          <w:sz w:val="21"/>
          <w:szCs w:val="21"/>
        </w:rPr>
        <w:t>209,820元的注册资本。由于</w:t>
      </w:r>
      <w:proofErr w:type="gramStart"/>
      <w:r w:rsidRPr="00003D92">
        <w:rPr>
          <w:rFonts w:hint="eastAsia"/>
          <w:color w:val="000000"/>
          <w:sz w:val="21"/>
          <w:szCs w:val="21"/>
        </w:rPr>
        <w:t>苏州创芯为</w:t>
      </w:r>
      <w:proofErr w:type="gramEnd"/>
      <w:r w:rsidRPr="00003D92">
        <w:rPr>
          <w:rFonts w:hint="eastAsia"/>
          <w:color w:val="000000"/>
          <w:sz w:val="21"/>
          <w:szCs w:val="21"/>
        </w:rPr>
        <w:t>公司参股公司</w:t>
      </w:r>
      <w:proofErr w:type="gramStart"/>
      <w:r w:rsidRPr="00003D92">
        <w:rPr>
          <w:rFonts w:hint="eastAsia"/>
          <w:color w:val="000000"/>
          <w:sz w:val="21"/>
          <w:szCs w:val="21"/>
        </w:rPr>
        <w:t>锴</w:t>
      </w:r>
      <w:proofErr w:type="gramEnd"/>
      <w:r w:rsidRPr="00003D92">
        <w:rPr>
          <w:rFonts w:hint="eastAsia"/>
          <w:color w:val="000000"/>
          <w:sz w:val="21"/>
          <w:szCs w:val="21"/>
        </w:rPr>
        <w:t>威特的全资子公司，公司财务总监彭占凯先生为</w:t>
      </w:r>
      <w:proofErr w:type="gramStart"/>
      <w:r w:rsidRPr="00003D92">
        <w:rPr>
          <w:rFonts w:hint="eastAsia"/>
          <w:color w:val="000000"/>
          <w:sz w:val="21"/>
          <w:szCs w:val="21"/>
        </w:rPr>
        <w:t>锴</w:t>
      </w:r>
      <w:proofErr w:type="gramEnd"/>
      <w:r w:rsidRPr="00003D92">
        <w:rPr>
          <w:rFonts w:hint="eastAsia"/>
          <w:color w:val="000000"/>
          <w:sz w:val="21"/>
          <w:szCs w:val="21"/>
        </w:rPr>
        <w:t>威特董事，根据《深圳证券交易所股票上市规则》等相关规定，公司与苏州</w:t>
      </w:r>
      <w:proofErr w:type="gramStart"/>
      <w:r w:rsidRPr="00003D92">
        <w:rPr>
          <w:rFonts w:hint="eastAsia"/>
          <w:color w:val="000000"/>
          <w:sz w:val="21"/>
          <w:szCs w:val="21"/>
        </w:rPr>
        <w:t>创芯构成</w:t>
      </w:r>
      <w:proofErr w:type="gramEnd"/>
      <w:r w:rsidRPr="00003D92">
        <w:rPr>
          <w:rFonts w:hint="eastAsia"/>
          <w:color w:val="000000"/>
          <w:sz w:val="21"/>
          <w:szCs w:val="21"/>
        </w:rPr>
        <w:t>关联关系，</w:t>
      </w:r>
      <w:proofErr w:type="gramStart"/>
      <w:r w:rsidRPr="00003D92">
        <w:rPr>
          <w:rFonts w:hint="eastAsia"/>
          <w:color w:val="000000"/>
          <w:sz w:val="21"/>
          <w:szCs w:val="21"/>
        </w:rPr>
        <w:t>苏州创芯本次</w:t>
      </w:r>
      <w:proofErr w:type="gramEnd"/>
      <w:r w:rsidRPr="00003D92">
        <w:rPr>
          <w:rFonts w:hint="eastAsia"/>
          <w:color w:val="000000"/>
          <w:sz w:val="21"/>
          <w:szCs w:val="21"/>
        </w:rPr>
        <w:t>增资</w:t>
      </w:r>
      <w:proofErr w:type="gramStart"/>
      <w:r w:rsidRPr="00003D92">
        <w:rPr>
          <w:rFonts w:hint="eastAsia"/>
          <w:color w:val="000000"/>
          <w:sz w:val="21"/>
          <w:szCs w:val="21"/>
        </w:rPr>
        <w:t>深圳陆巡事项</w:t>
      </w:r>
      <w:proofErr w:type="gramEnd"/>
      <w:r w:rsidRPr="00003D92">
        <w:rPr>
          <w:rFonts w:hint="eastAsia"/>
          <w:color w:val="000000"/>
          <w:sz w:val="21"/>
          <w:szCs w:val="21"/>
        </w:rPr>
        <w:t>构成公司与关联方共同投资的行为，构成关联交易。</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重大关联交易临时报告披露网站相关查询</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临时公告披露日期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临时公告披露网站名称</w:t>
            </w:r>
          </w:p>
        </w:tc>
      </w:tr>
      <w:tr w:rsidR="00A27D66" w:rsidTr="00453C0A">
        <w:trPr>
          <w:trHeight w:val="669"/>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关于关联方</w:t>
            </w:r>
            <w:proofErr w:type="gramStart"/>
            <w:r>
              <w:rPr>
                <w:rFonts w:ascii="宋体" w:eastAsia="宋体" w:hAnsi="宋体" w:cs="宋体"/>
                <w:sz w:val="18"/>
                <w:szCs w:val="18"/>
              </w:rPr>
              <w:t>增资本</w:t>
            </w:r>
            <w:proofErr w:type="gramEnd"/>
            <w:r>
              <w:rPr>
                <w:rFonts w:ascii="宋体" w:eastAsia="宋体" w:hAnsi="宋体" w:cs="宋体"/>
                <w:sz w:val="18"/>
                <w:szCs w:val="18"/>
              </w:rPr>
              <w:t>公司参股公司暨关联交易的公告</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2024年04月12日</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巨潮资讯网(http://www.cninfo.com.cn)</w:t>
            </w:r>
          </w:p>
        </w:tc>
      </w:tr>
    </w:tbl>
    <w:p w:rsidR="00A27D66" w:rsidRDefault="00A2119D">
      <w:pPr>
        <w:pStyle w:val="2"/>
        <w:spacing w:before="300" w:after="300" w:line="320" w:lineRule="exact"/>
        <w:rPr>
          <w:rFonts w:ascii="宋体" w:eastAsia="宋体" w:hAnsi="宋体" w:cs="宋体"/>
          <w:b/>
          <w:bCs/>
          <w:sz w:val="24"/>
          <w:szCs w:val="24"/>
        </w:rPr>
      </w:pPr>
      <w:bookmarkStart w:id="121" w:name="_Toc989006"/>
      <w:r>
        <w:rPr>
          <w:rFonts w:ascii="宋体" w:eastAsia="宋体" w:hAnsi="宋体" w:cs="宋体"/>
          <w:b/>
          <w:bCs/>
          <w:sz w:val="24"/>
          <w:szCs w:val="24"/>
        </w:rPr>
        <w:t>十五、重大合同及其履行情况</w:t>
      </w:r>
      <w:bookmarkEnd w:id="121"/>
    </w:p>
    <w:p w:rsidR="00A27D66" w:rsidRDefault="00A2119D">
      <w:pPr>
        <w:pStyle w:val="3"/>
        <w:spacing w:line="280" w:lineRule="exact"/>
        <w:jc w:val="left"/>
        <w:rPr>
          <w:rFonts w:ascii="宋体" w:hAnsi="宋体" w:cs="宋体"/>
          <w:b/>
          <w:bCs/>
        </w:rPr>
      </w:pPr>
      <w:bookmarkStart w:id="122" w:name="_Toc989007"/>
      <w:r>
        <w:rPr>
          <w:rFonts w:ascii="宋体" w:hAnsi="宋体" w:cs="宋体"/>
          <w:b/>
          <w:bCs/>
        </w:rPr>
        <w:t>1、托管、承包、租赁事项情况</w:t>
      </w:r>
      <w:bookmarkEnd w:id="122"/>
    </w:p>
    <w:p w:rsidR="00A27D66" w:rsidRDefault="00A2119D">
      <w:pPr>
        <w:keepNext/>
        <w:keepLines/>
        <w:spacing w:before="300" w:after="300" w:line="280" w:lineRule="exact"/>
        <w:outlineLvl w:val="3"/>
        <w:rPr>
          <w:rFonts w:ascii="宋体" w:eastAsia="宋体" w:hAnsi="宋体" w:cs="宋体"/>
          <w:b/>
          <w:bCs/>
          <w:sz w:val="18"/>
          <w:szCs w:val="18"/>
        </w:rPr>
      </w:pPr>
      <w:bookmarkStart w:id="123" w:name="_Toc989008"/>
      <w:r>
        <w:rPr>
          <w:rFonts w:ascii="宋体" w:eastAsia="宋体" w:hAnsi="宋体" w:cs="宋体"/>
          <w:b/>
          <w:bCs/>
          <w:sz w:val="18"/>
          <w:szCs w:val="18"/>
        </w:rPr>
        <w:t>（1） 托管情况</w:t>
      </w:r>
      <w:bookmarkEnd w:id="123"/>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公司报告期不存在托管情况。</w:t>
      </w:r>
    </w:p>
    <w:p w:rsidR="00A27D66" w:rsidRDefault="00A2119D">
      <w:pPr>
        <w:keepNext/>
        <w:keepLines/>
        <w:spacing w:before="300" w:after="300" w:line="280" w:lineRule="exact"/>
        <w:outlineLvl w:val="3"/>
        <w:rPr>
          <w:rFonts w:ascii="宋体" w:eastAsia="宋体" w:hAnsi="宋体" w:cs="宋体"/>
          <w:b/>
          <w:bCs/>
          <w:sz w:val="18"/>
          <w:szCs w:val="18"/>
        </w:rPr>
      </w:pPr>
      <w:bookmarkStart w:id="124" w:name="_Toc989009"/>
      <w:r>
        <w:rPr>
          <w:rFonts w:ascii="宋体" w:eastAsia="宋体" w:hAnsi="宋体" w:cs="宋体"/>
          <w:b/>
          <w:bCs/>
          <w:sz w:val="18"/>
          <w:szCs w:val="18"/>
        </w:rPr>
        <w:lastRenderedPageBreak/>
        <w:t>（2） 承包情况</w:t>
      </w:r>
      <w:bookmarkEnd w:id="124"/>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公司报告期不存在承包情况。</w:t>
      </w:r>
    </w:p>
    <w:p w:rsidR="00A27D66" w:rsidRDefault="00A2119D">
      <w:pPr>
        <w:keepNext/>
        <w:keepLines/>
        <w:spacing w:before="300" w:after="300" w:line="280" w:lineRule="exact"/>
        <w:outlineLvl w:val="3"/>
        <w:rPr>
          <w:rFonts w:ascii="宋体" w:eastAsia="宋体" w:hAnsi="宋体" w:cs="宋体"/>
          <w:b/>
          <w:bCs/>
          <w:sz w:val="18"/>
          <w:szCs w:val="18"/>
        </w:rPr>
      </w:pPr>
      <w:bookmarkStart w:id="125" w:name="_Toc989010"/>
      <w:r>
        <w:rPr>
          <w:rFonts w:ascii="宋体" w:eastAsia="宋体" w:hAnsi="宋体" w:cs="宋体"/>
          <w:b/>
          <w:bCs/>
          <w:sz w:val="18"/>
          <w:szCs w:val="18"/>
        </w:rPr>
        <w:t>（3） 租赁情况</w:t>
      </w:r>
      <w:bookmarkEnd w:id="125"/>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租赁情况说明</w:t>
      </w:r>
    </w:p>
    <w:p w:rsidR="00A2119D" w:rsidRPr="00003D92" w:rsidRDefault="00A2119D" w:rsidP="00003D92">
      <w:pPr>
        <w:pStyle w:val="a3"/>
        <w:spacing w:before="0" w:beforeAutospacing="0" w:after="0" w:afterAutospacing="0" w:line="360" w:lineRule="auto"/>
        <w:ind w:firstLine="561"/>
        <w:jc w:val="both"/>
        <w:divId w:val="1124423298"/>
        <w:rPr>
          <w:color w:val="000000"/>
          <w:sz w:val="21"/>
          <w:szCs w:val="21"/>
        </w:rPr>
      </w:pPr>
      <w:r w:rsidRPr="00003D92">
        <w:rPr>
          <w:rFonts w:hint="eastAsia"/>
          <w:color w:val="000000"/>
          <w:sz w:val="21"/>
          <w:szCs w:val="21"/>
        </w:rPr>
        <w:t>经公司第九届董事会第三十六次会议及2021年第一次临时股东大会审议通过，公司全资子公司升华电源与四川升华巨能科技有限公司签署《工业用房租赁合同》，承租成都市成华区</w:t>
      </w:r>
      <w:proofErr w:type="gramStart"/>
      <w:r w:rsidRPr="00003D92">
        <w:rPr>
          <w:rFonts w:hint="eastAsia"/>
          <w:color w:val="000000"/>
          <w:sz w:val="21"/>
          <w:szCs w:val="21"/>
        </w:rPr>
        <w:t>成致路的</w:t>
      </w:r>
      <w:proofErr w:type="gramEnd"/>
      <w:r w:rsidRPr="00003D92">
        <w:rPr>
          <w:rFonts w:hint="eastAsia"/>
          <w:color w:val="000000"/>
          <w:sz w:val="21"/>
          <w:szCs w:val="21"/>
        </w:rPr>
        <w:t>“工业用房及配套设施一期（1号楼）建设”项目的房屋作为生产经营场所，租赁期自2021年9月30日至2039年3月14日。详情请参阅公司分别于2020年12月30日、2021年1月9日在《中国证券报》《证券时报》《证券日报》《上海证券报》及巨潮资讯网（http://www.cninfo.com.cn）披露的《关于全资子公司四川升华电源科技有限公司工业用房租赁暨关联交易的公告》(2020-63)、《2021年第一次临时股东大会决议公告》（2021-05）。</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为公司带来的损益达到公司报告期利润总额10%以上的项目</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公司报告期不存在为公司带来的损益达到公司报告期利润总额10%以上的租赁项目。</w:t>
      </w:r>
    </w:p>
    <w:p w:rsidR="00A27D66" w:rsidRDefault="00A2119D">
      <w:pPr>
        <w:pStyle w:val="3"/>
        <w:spacing w:line="280" w:lineRule="exact"/>
        <w:jc w:val="left"/>
        <w:rPr>
          <w:rFonts w:ascii="宋体" w:hAnsi="宋体" w:cs="宋体"/>
          <w:b/>
          <w:bCs/>
        </w:rPr>
      </w:pPr>
      <w:bookmarkStart w:id="126" w:name="_Toc989011"/>
      <w:r>
        <w:rPr>
          <w:rFonts w:ascii="宋体" w:hAnsi="宋体" w:cs="宋体"/>
          <w:b/>
          <w:bCs/>
        </w:rPr>
        <w:t>2、重大担保</w:t>
      </w:r>
      <w:bookmarkEnd w:id="126"/>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公司报告期不存在重大担保情况。</w:t>
      </w:r>
    </w:p>
    <w:p w:rsidR="00A27D66" w:rsidRDefault="00A2119D">
      <w:pPr>
        <w:pStyle w:val="3"/>
        <w:spacing w:line="280" w:lineRule="exact"/>
        <w:jc w:val="left"/>
        <w:rPr>
          <w:rFonts w:ascii="宋体" w:hAnsi="宋体" w:cs="宋体"/>
          <w:b/>
          <w:bCs/>
        </w:rPr>
      </w:pPr>
      <w:bookmarkStart w:id="127" w:name="_Toc989012"/>
      <w:r>
        <w:rPr>
          <w:rFonts w:ascii="宋体" w:hAnsi="宋体" w:cs="宋体"/>
          <w:b/>
          <w:bCs/>
        </w:rPr>
        <w:t>3、委托他人进行现金资产管理情况</w:t>
      </w:r>
      <w:bookmarkEnd w:id="127"/>
    </w:p>
    <w:p w:rsidR="00A27D66" w:rsidRDefault="00A2119D">
      <w:pPr>
        <w:keepNext/>
        <w:keepLines/>
        <w:spacing w:before="300" w:after="300" w:line="280" w:lineRule="exact"/>
        <w:outlineLvl w:val="3"/>
        <w:rPr>
          <w:rFonts w:ascii="宋体" w:eastAsia="宋体" w:hAnsi="宋体" w:cs="宋体"/>
          <w:b/>
          <w:bCs/>
          <w:sz w:val="18"/>
          <w:szCs w:val="18"/>
        </w:rPr>
      </w:pPr>
      <w:bookmarkStart w:id="128" w:name="_Toc989013"/>
      <w:r>
        <w:rPr>
          <w:rFonts w:ascii="宋体" w:eastAsia="宋体" w:hAnsi="宋体" w:cs="宋体"/>
          <w:b/>
          <w:bCs/>
          <w:sz w:val="18"/>
          <w:szCs w:val="18"/>
        </w:rPr>
        <w:t>（1） 委托理财情况</w:t>
      </w:r>
      <w:bookmarkEnd w:id="128"/>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报告期内委托理财概况</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7"/>
        <w:gridCol w:w="1608"/>
        <w:gridCol w:w="1606"/>
        <w:gridCol w:w="1606"/>
        <w:gridCol w:w="1606"/>
        <w:gridCol w:w="1606"/>
      </w:tblGrid>
      <w:tr w:rsidR="00A27D66" w:rsidTr="00953733">
        <w:trPr>
          <w:trHeight w:val="477"/>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具体类型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未到期余额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逾期未收回的金额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A27D6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953733">
            <w:pPr>
              <w:spacing w:line="240" w:lineRule="exact"/>
              <w:jc w:val="right"/>
              <w:rPr>
                <w:rFonts w:ascii="宋体" w:eastAsia="宋体" w:hAnsi="宋体" w:cs="宋体"/>
                <w:sz w:val="18"/>
                <w:szCs w:val="18"/>
              </w:rPr>
            </w:pPr>
            <w:r w:rsidRPr="00791239">
              <w:rPr>
                <w:rFonts w:ascii="宋体" w:eastAsia="宋体" w:hAnsi="宋体" w:cs="宋体"/>
                <w:sz w:val="18"/>
                <w:szCs w:val="18"/>
              </w:rPr>
              <w:t>33,608.88</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21,269.19</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A27D66">
        <w:trPr>
          <w:trHeight w:val="240"/>
        </w:trPr>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953733">
            <w:pPr>
              <w:spacing w:line="240" w:lineRule="exact"/>
              <w:jc w:val="right"/>
              <w:rPr>
                <w:rFonts w:ascii="宋体" w:eastAsia="宋体" w:hAnsi="宋体" w:cs="宋体"/>
                <w:sz w:val="18"/>
                <w:szCs w:val="18"/>
              </w:rPr>
            </w:pPr>
            <w:r w:rsidRPr="00791239">
              <w:rPr>
                <w:rFonts w:ascii="宋体" w:eastAsia="宋体" w:hAnsi="宋体" w:cs="宋体"/>
                <w:sz w:val="18"/>
                <w:szCs w:val="18"/>
              </w:rPr>
              <w:t>33,608.88</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21,269.19</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单项金额重大或安全性较低、流动性较差的高风险委托理财具体情况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委托理财出现预期无法收回本金或存在其他可能导致减值的情形</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keepNext/>
        <w:keepLines/>
        <w:spacing w:before="300" w:after="300" w:line="280" w:lineRule="exact"/>
        <w:outlineLvl w:val="3"/>
        <w:rPr>
          <w:rFonts w:ascii="宋体" w:eastAsia="宋体" w:hAnsi="宋体" w:cs="宋体"/>
          <w:b/>
          <w:bCs/>
          <w:sz w:val="18"/>
          <w:szCs w:val="18"/>
        </w:rPr>
      </w:pPr>
      <w:bookmarkStart w:id="129" w:name="_Toc989014"/>
      <w:r>
        <w:rPr>
          <w:rFonts w:ascii="宋体" w:eastAsia="宋体" w:hAnsi="宋体" w:cs="宋体"/>
          <w:b/>
          <w:bCs/>
          <w:sz w:val="18"/>
          <w:szCs w:val="18"/>
        </w:rPr>
        <w:lastRenderedPageBreak/>
        <w:t>（2） 委托贷款情况</w:t>
      </w:r>
      <w:bookmarkEnd w:id="129"/>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公司报告期不存在委托贷款。</w:t>
      </w:r>
    </w:p>
    <w:p w:rsidR="00A27D66" w:rsidRDefault="00A2119D">
      <w:pPr>
        <w:pStyle w:val="3"/>
        <w:spacing w:line="280" w:lineRule="exact"/>
        <w:jc w:val="left"/>
        <w:rPr>
          <w:rFonts w:ascii="宋体" w:hAnsi="宋体" w:cs="宋体"/>
          <w:b/>
          <w:bCs/>
        </w:rPr>
      </w:pPr>
      <w:bookmarkStart w:id="130" w:name="_Toc989015"/>
      <w:r>
        <w:rPr>
          <w:rFonts w:ascii="宋体" w:hAnsi="宋体" w:cs="宋体"/>
          <w:b/>
          <w:bCs/>
        </w:rPr>
        <w:t>4、其他重大合同</w:t>
      </w:r>
      <w:bookmarkEnd w:id="130"/>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公司报告期不存在其他重大合同。</w:t>
      </w:r>
    </w:p>
    <w:p w:rsidR="00A27D66" w:rsidRDefault="00A2119D">
      <w:pPr>
        <w:pStyle w:val="2"/>
        <w:spacing w:before="300" w:after="300" w:line="320" w:lineRule="exact"/>
        <w:rPr>
          <w:rFonts w:ascii="宋体" w:eastAsia="宋体" w:hAnsi="宋体" w:cs="宋体"/>
          <w:b/>
          <w:bCs/>
          <w:sz w:val="24"/>
          <w:szCs w:val="24"/>
        </w:rPr>
      </w:pPr>
      <w:bookmarkStart w:id="131" w:name="_Toc989016"/>
      <w:r>
        <w:rPr>
          <w:rFonts w:ascii="宋体" w:eastAsia="宋体" w:hAnsi="宋体" w:cs="宋体"/>
          <w:b/>
          <w:bCs/>
          <w:sz w:val="24"/>
          <w:szCs w:val="24"/>
        </w:rPr>
        <w:t>十六、其他重大事项的说明</w:t>
      </w:r>
      <w:bookmarkEnd w:id="131"/>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119D" w:rsidRPr="00003D92" w:rsidRDefault="00A2119D" w:rsidP="00CB5CA2">
      <w:pPr>
        <w:pStyle w:val="a3"/>
        <w:spacing w:before="0" w:beforeAutospacing="0" w:after="0" w:afterAutospacing="0" w:line="360" w:lineRule="auto"/>
        <w:ind w:firstLine="561"/>
        <w:jc w:val="both"/>
        <w:divId w:val="118307677"/>
        <w:rPr>
          <w:color w:val="000000"/>
          <w:sz w:val="21"/>
          <w:szCs w:val="21"/>
        </w:rPr>
      </w:pPr>
      <w:r w:rsidRPr="00003D92">
        <w:rPr>
          <w:rFonts w:hint="eastAsia"/>
          <w:color w:val="000000"/>
          <w:sz w:val="21"/>
          <w:szCs w:val="21"/>
        </w:rPr>
        <w:t>报告期内，公司所有重要事项信息披露均发布在《中国证券报》《证券时报》《证券日报》《上海证券报》及巨潮资讯网（http://www.cninfo.com.cn）上，刊登的信息如下：</w:t>
      </w:r>
    </w:p>
    <w:tbl>
      <w:tblPr>
        <w:tblW w:w="9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61"/>
        <w:gridCol w:w="3402"/>
        <w:gridCol w:w="1114"/>
        <w:gridCol w:w="4131"/>
      </w:tblGrid>
      <w:tr w:rsidR="00A2119D" w:rsidTr="000A6F26">
        <w:trPr>
          <w:divId w:val="118307677"/>
          <w:trHeight w:val="412"/>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公告编号</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公告名称</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公告时间</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ind w:firstLine="360"/>
              <w:jc w:val="center"/>
              <w:rPr>
                <w:sz w:val="18"/>
                <w:szCs w:val="18"/>
              </w:rPr>
            </w:pPr>
            <w:r w:rsidRPr="000C1FE6">
              <w:rPr>
                <w:rFonts w:hint="eastAsia"/>
                <w:sz w:val="18"/>
                <w:szCs w:val="18"/>
              </w:rPr>
              <w:t>披露主体</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2024-01</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关于部分高级管理人员减</w:t>
            </w:r>
            <w:proofErr w:type="gramStart"/>
            <w:r w:rsidRPr="000C1FE6">
              <w:rPr>
                <w:rFonts w:hint="eastAsia"/>
                <w:sz w:val="18"/>
                <w:szCs w:val="18"/>
              </w:rPr>
              <w:t>持计划</w:t>
            </w:r>
            <w:proofErr w:type="gramEnd"/>
            <w:r w:rsidRPr="000C1FE6">
              <w:rPr>
                <w:rFonts w:hint="eastAsia"/>
                <w:sz w:val="18"/>
                <w:szCs w:val="18"/>
              </w:rPr>
              <w:t>期限届满的公告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2024-1-4</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中国证券报B050版、证券时报B56版、证券日报B04版、上海证券报73版、巨潮资讯网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2024-02</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关于控股股东增持股</w:t>
            </w:r>
            <w:proofErr w:type="gramStart"/>
            <w:r w:rsidRPr="000C1FE6">
              <w:rPr>
                <w:rFonts w:hint="eastAsia"/>
                <w:sz w:val="18"/>
                <w:szCs w:val="18"/>
              </w:rPr>
              <w:t>份计划</w:t>
            </w:r>
            <w:proofErr w:type="gramEnd"/>
            <w:r w:rsidRPr="000C1FE6">
              <w:rPr>
                <w:rFonts w:hint="eastAsia"/>
                <w:sz w:val="18"/>
                <w:szCs w:val="18"/>
              </w:rPr>
              <w:t>实施完成的公告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2024-1-5</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中国证券报B020版、证券时报B17版、证券日报D07版、上海证券报26版、巨潮资讯网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2024-03</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2024年第一次临时股东大会决议公告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2024-1-17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中国证券报B058版、证券时报B91版、证券日报D43版、上海证券报71版、巨潮资讯网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2024-04</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关于注销回购专用证券账户剩余回购股</w:t>
            </w:r>
            <w:proofErr w:type="gramStart"/>
            <w:r w:rsidRPr="000C1FE6">
              <w:rPr>
                <w:rFonts w:hint="eastAsia"/>
                <w:sz w:val="18"/>
                <w:szCs w:val="18"/>
              </w:rPr>
              <w:t>份减少</w:t>
            </w:r>
            <w:proofErr w:type="gramEnd"/>
            <w:r w:rsidRPr="000C1FE6">
              <w:rPr>
                <w:rFonts w:hint="eastAsia"/>
                <w:sz w:val="18"/>
                <w:szCs w:val="18"/>
              </w:rPr>
              <w:t>注册资本</w:t>
            </w:r>
            <w:proofErr w:type="gramStart"/>
            <w:r w:rsidRPr="000C1FE6">
              <w:rPr>
                <w:rFonts w:hint="eastAsia"/>
                <w:sz w:val="18"/>
                <w:szCs w:val="18"/>
              </w:rPr>
              <w:t>暨通知</w:t>
            </w:r>
            <w:proofErr w:type="gramEnd"/>
            <w:r w:rsidRPr="000C1FE6">
              <w:rPr>
                <w:rFonts w:hint="eastAsia"/>
                <w:sz w:val="18"/>
                <w:szCs w:val="18"/>
              </w:rPr>
              <w:t>债权人的公告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2024-1-17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中国证券报B058版、证券时报B76版、证券日报D43版、上海证券报71版、巨潮资讯网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2024-05</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第十一届董事会第一次会议决议公告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2024-1-17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中国证券报B058版、证券时报B91版、证券日报D43版、上海证券报71版、巨潮资讯网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2024-06</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第十一届监事会第一次会议决议公告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2024-1-17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中国证券报B058版、证券时报B91版、证券日报D43版、上海证券报71版、巨潮资讯网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2024-07</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关于公司董事会完成换届选举的公告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2024-1-17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中国证券报B058版、证券时报B91版、证券日报D43版、上海证券报71版、巨潮资讯网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2024-08</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关于选举公司第十一届监事会职工代表监事的公告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2024-1-17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中国证券报B058版、证券时报B91版、证券日报D43版、上海证券报71版、巨潮资讯网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2024-09</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关于公司监事会完成换届选举的公告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2024-1-17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中国证券报B058版、证券时报B91版、证券日报D43版、上海证券报71版、巨潮资讯网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2024-10</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关于聘任公司高级管理人员及证券事务代表的公告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2024-1-17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中国证券报B058版、证券时报B91版、证券日报D43版、上海证券报71版、巨潮资讯网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2024-11</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关于控股股东部分股份质押的公告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2024-1-17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中国证券报B058版、证券时报B91版、证券日报D43版、上海证券报71版、巨潮资讯网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2024-12</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2023年度业绩预告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2024-1-31</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中国证券报B052版、证券时报B68版、证券日报D24版、上海证券报119版、巨潮资讯网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2024-13</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关于控股股东部分股份提前解除质押的公告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2024-2-6</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中国证券报B017版、证券时报B55版、证券日报D40版、上海证券报69版、巨潮资讯网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2024-14</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关于控股股东部分股份被冻结的公告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2024-2-28</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中国证券报B022版、证券时报B80版、证券日报D03版、上海证券报9版、巨潮资讯网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2024-15</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第十一届董事会第二次会议决议公告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2024-3-5</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中国证券报B010版、证券时报B30版、证券日报D10版、上海证券报27版、巨潮资讯网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2024-16</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关于以集中竞价交易方式回购公司股份方案的公告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2024-3-5</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中国证券报B010版、证券时报B30版、证券日报D10版、上海证券报27版、巨潮资讯网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lastRenderedPageBreak/>
              <w:t>2024-17</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关于回购股份事项前十名股东及前十名无限</w:t>
            </w:r>
            <w:proofErr w:type="gramStart"/>
            <w:r w:rsidRPr="000C1FE6">
              <w:rPr>
                <w:rFonts w:hint="eastAsia"/>
                <w:sz w:val="18"/>
                <w:szCs w:val="18"/>
              </w:rPr>
              <w:t>售条件</w:t>
            </w:r>
            <w:proofErr w:type="gramEnd"/>
            <w:r w:rsidRPr="000C1FE6">
              <w:rPr>
                <w:rFonts w:hint="eastAsia"/>
                <w:sz w:val="18"/>
                <w:szCs w:val="18"/>
              </w:rPr>
              <w:t>股东持股情况的公告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中国证券报A07版、证券时报B2版、证券日报D05版、上海证券报28版、巨潮资讯网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2024-18</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回购报告书</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中国证券报A07版、证券时报B2版、证券日报D05版、上海证券报28版、巨潮资讯网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2024-19</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关于回购专用证券账户剩余回购股份注销完成</w:t>
            </w:r>
            <w:proofErr w:type="gramStart"/>
            <w:r w:rsidRPr="000C1FE6">
              <w:rPr>
                <w:rFonts w:hint="eastAsia"/>
                <w:sz w:val="18"/>
                <w:szCs w:val="18"/>
              </w:rPr>
              <w:t>暨股份</w:t>
            </w:r>
            <w:proofErr w:type="gramEnd"/>
            <w:r w:rsidRPr="000C1FE6">
              <w:rPr>
                <w:rFonts w:hint="eastAsia"/>
                <w:sz w:val="18"/>
                <w:szCs w:val="18"/>
              </w:rPr>
              <w:t>变动的公告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2024-3-8</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中国证券报A07版、证券时报B19版、证券日报D06版、上海证券报44版、巨潮资讯网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2024-20</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关于股份回购进展情况的公告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2024-4-2</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中国证券报B040版、证券时报B112版、证券日报D52版、上海证券报79版、巨潮资讯网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2024-21</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关于完成工商变更登记并换发营业执照的公告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2024-4-8</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中国证券报B039版、证券时报B74版、证券日报D43版、上海证券报100版、巨潮资讯网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2024-22</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第十一届董事会第三次会议决议公告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2024-4-12</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中国证券报B027版、证券时报B127版、证券日报D77版、上海证券报148版、巨潮资讯网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2024-23</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第十一届监事会第二次会议决议公告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2024-4-12</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中国证券报B027版、证券时报B127版、证券日报D77版、上海证券报148版、巨潮资讯网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2024-24</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关于关联方</w:t>
            </w:r>
            <w:proofErr w:type="gramStart"/>
            <w:r w:rsidRPr="000C1FE6">
              <w:rPr>
                <w:rFonts w:hint="eastAsia"/>
                <w:sz w:val="18"/>
                <w:szCs w:val="18"/>
              </w:rPr>
              <w:t>增资本</w:t>
            </w:r>
            <w:proofErr w:type="gramEnd"/>
            <w:r w:rsidRPr="000C1FE6">
              <w:rPr>
                <w:rFonts w:hint="eastAsia"/>
                <w:sz w:val="18"/>
                <w:szCs w:val="18"/>
              </w:rPr>
              <w:t>公司参股公司暨关联交易的公告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2024-4-12</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中国证券报B027版、证券时报B127版、证券日报D77版、上海证券报148版、巨潮资讯网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2024-25</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关于首次回购公司股份的公告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2024-4-17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中国证券报B023版、证券时报B39版、证券日报D1版、上海证券报79版、巨潮资讯网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2024-26</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第十一届董事会第四次会议决议公告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2024-4-20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中国证券报B047版、证券时报B92版、证券日报C64版、上海证券报35版、巨潮资讯网</w:t>
            </w:r>
          </w:p>
        </w:tc>
      </w:tr>
      <w:tr w:rsidR="00A2119D" w:rsidTr="000A6F26">
        <w:trPr>
          <w:divId w:val="11830767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2024-27</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第十一届监事会第三次会议决议公告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2024-4-20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中国证券报B047版、证券时报B92版、证券日报C64版、上海证券报35版、巨潮资讯网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2024-28</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2023年年度报告摘要</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2024-4-20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中国证券报B047版、证券时报B92版、证券日报C64版、上海证券报35版、巨潮资讯网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2024-29</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关于授权使用自有闲置资金进行投资理财的公告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2024-4-20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中国证券报B047版、证券时报B92版、证券日报C64版、上海证券报35版、巨潮资讯网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2024-30</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关于计提商誉减值准备的公告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2024-4-20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中国证券报B047版、证券时报B92版、证券日报C64版、上海证券报35版、巨潮资讯网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2024-31</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第十一届董事会第五次会议决议公告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2024-4-30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中国证券报B623版、证券时报B1060版、证券日报D437版、上海证券报132版、巨潮资讯网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2024-32</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2024年第一季度报告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2024-4-30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中国证券报B623版、证券时报B1060版、证券日报D437版、上海证券报132版、巨潮资讯网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2024-33</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关于续聘公司2024年度审计机构的公告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2024-4-30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中国证券报B623版、证券时报B1060版、证券日报D437版、上海证券报132版、巨潮资讯网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2024-34</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关于股份回购进展情况的公告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中国证券报B032版、证券时报B10版、证券日报D27版、上海证券报118版、巨潮资讯网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2024-35</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第十一届董事会第六次会议决议公告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2024-5-22</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中国证券报B023版、证券时报B57版、证券日报D03版、上海证券报93版、巨潮资讯网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2024-36</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第十一届监事会第五次会议决议公告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2024-5-22</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中国证券报B023版、证券时报B57版、证券日报D03版、上海证券报93版、巨潮资讯网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2024-37</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关于2021年限制性股票激励计划首次授予第三个解除限售期及预留授予第二个解除限售期解除限售条件未成就暨回购注销部分限制性股票的公告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2024-5-22</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中国证券报B023版、证券时报B57版、证券日报D03版、上海证券报93版、巨潮资讯网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2024-38</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关于减少注册资本</w:t>
            </w:r>
            <w:proofErr w:type="gramStart"/>
            <w:r w:rsidRPr="000C1FE6">
              <w:rPr>
                <w:rFonts w:hint="eastAsia"/>
                <w:sz w:val="18"/>
                <w:szCs w:val="18"/>
              </w:rPr>
              <w:t>暨修改</w:t>
            </w:r>
            <w:proofErr w:type="gramEnd"/>
            <w:r w:rsidRPr="000C1FE6">
              <w:rPr>
                <w:rFonts w:hint="eastAsia"/>
                <w:sz w:val="18"/>
                <w:szCs w:val="18"/>
              </w:rPr>
              <w:t>《公司章程》的公告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2024-5-22</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中国证券报B023版、证券时报B57版、证券日报D03版、上海证券报93版、巨潮资讯网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2024-39</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关于召开公司2023年度股东大会的通知</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2024-5-22</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中国证券报B023版、证券时报B57版、证券日报D03版、上海证券报93版、巨潮资讯网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lastRenderedPageBreak/>
              <w:t>2024-40</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关于控股股东所持公司部分股份解除司法冻结及部分质押股份被司法再冻结的公告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2024-5-24</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中国证券报B013版、证券时报B61版、证券日报D05版、上海证券报77版、巨潮资讯网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2024-41</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关于股份回购进展情况的公告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2024-6-4</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中国证券报B028版、证券时报B20版、证券日报D01版、上海证券报61版、巨潮资讯网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2024-42</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关于举办2023年度网上业绩说明会的公告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2024-6-4</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中国证券报B028版、证券时报B20版、证券日报D01版、上海证券报61版、巨潮资讯网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2024-43</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2023年度股东大会决议公告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2024-6-14</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中国证券报B048版、证券时报B84版、证券日报D44版、上海证券报43版、巨潮资讯网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2024-44</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关于回购注销部分限制性股票减少注册资本</w:t>
            </w:r>
            <w:proofErr w:type="gramStart"/>
            <w:r w:rsidRPr="000C1FE6">
              <w:rPr>
                <w:rFonts w:hint="eastAsia"/>
                <w:sz w:val="18"/>
                <w:szCs w:val="18"/>
              </w:rPr>
              <w:t>暨通知</w:t>
            </w:r>
            <w:proofErr w:type="gramEnd"/>
            <w:r w:rsidRPr="000C1FE6">
              <w:rPr>
                <w:rFonts w:hint="eastAsia"/>
                <w:sz w:val="18"/>
                <w:szCs w:val="18"/>
              </w:rPr>
              <w:t>债权人的公告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2024-6-14</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中国证券报B048版、证券时报B84版、证券日报D44版、上海证券报43版、巨潮资讯网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2024-45</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关于股份回购进展情况的公告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2024-7-3</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中国证券报B036版、证券时报B19版、证券日报D02版、上海证券报84版、巨潮资讯网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2024-46</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关于股份回购进展情况的公告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2024-8-3</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中国证券报B029版、证券时报B26版、证券日报C12版、上海证券报62版、巨潮资讯网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2024-47</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关于控股股东部分股份解除质押及再质押的公告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2024-8-17</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中国证券报A08版、证券时报B14版、证券日报C45版、上海证券报112版、巨潮资讯网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2024-48</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关于部分限制性股票回购注销完成的公告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2024-8-20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中国证券报B006版、证券时报B77版、证券日报D33版、上海证券报125版、巨潮资讯网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2024-49</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关于控股股东</w:t>
            </w:r>
            <w:proofErr w:type="gramStart"/>
            <w:r w:rsidRPr="000C1FE6">
              <w:rPr>
                <w:rFonts w:hint="eastAsia"/>
                <w:sz w:val="18"/>
                <w:szCs w:val="18"/>
              </w:rPr>
              <w:t>及一致</w:t>
            </w:r>
            <w:proofErr w:type="gramEnd"/>
            <w:r w:rsidRPr="000C1FE6">
              <w:rPr>
                <w:rFonts w:hint="eastAsia"/>
                <w:sz w:val="18"/>
                <w:szCs w:val="18"/>
              </w:rPr>
              <w:t>行动人持股比例变动达到1%的公告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2024-8-20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中国证券报B006版、证券时报B77版、证券日报D33版、上海证券报125版、巨潮资讯网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2024-50</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关于完成工商变更登记并换发营业执照的公告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2024-8-20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中国证券报B006版、证券时报B77版、证券日报D32版、上海证券报125版、巨潮资讯网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2024-51</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关于回购公司股份比例达到1%暨回购进展公告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2024-8-26</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中国证券报A06版、证券时报B25版、证券日报D16版、上海证券报31版、巨潮资讯网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2024-52</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第十一届董事会第七次会议决议公告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2024-8-31</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中国证券报B052版、证券时报B145版、证券日报C122版、上海证券报270版、巨潮资讯网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2024-53</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2024年半年度报告摘要</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2024-8-31</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中国证券报B052版、证券时报B145版、证券日报C122版、上海证券报270版、巨潮资讯网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2024-54</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关于控股股东部分股份提前解除质押的公告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2024-8-31</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中国证券报B052版、证券时报B145版、证券日报C122版、上海证券报270版、巨潮资讯网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2024-55</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关于股份回购进展情况的公告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2024-9-3</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中国证券报A07版、证券时报B49版、证券日报D20版、上海证券报35版、巨潮资讯网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2024-56</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关于参加广东辖区2024年投资者网上集体接待日活动的公告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2024-9-10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中国证券报B017版、证券时报B17版、证券日报D2版、上海证券报62版、巨潮资讯网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2024-57</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关于股份回购进展情况的公告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2024-10-9</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中国证券报B067版、证券时报B81版、证券日报D16版、上海证券报125版、巨潮资讯网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2024-58</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2024年第三季度报告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2024-10-30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中国证券报B131版、证券时报B374版、证券日报D167版、上海证券报530版、巨潮资讯网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2024-59</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关于控股股东部分股份质押的公告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2024-10-31</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中国证券报B021版、证券时报B279版、证券日报D161版、上海证券报503版、巨潮资讯网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2024-60</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关于股份回购进展情况的公告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2024-11-2</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中国证券报B041版、证券时报B35版、证券日报C16版、上海证券报71版、巨潮资讯网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2024-61</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关于公司副总经理辞职的公告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2024-11-9</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中国证券报B003版、证券时报B49版、证券日报C16版、上海证券报54版、巨潮资讯网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lastRenderedPageBreak/>
              <w:t>2024-62</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关于控股股东所持公司部分股份将被司法拍卖的提示性公告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2024-11-30</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中国证券报B045版、证券时报B59版、证券日报C15版、上海证券报29版、巨潮资讯网</w:t>
            </w:r>
          </w:p>
        </w:tc>
      </w:tr>
      <w:tr w:rsidR="00A2119D" w:rsidTr="000A6F26">
        <w:trPr>
          <w:divId w:val="118307677"/>
          <w:trHeight w:val="567"/>
        </w:trPr>
        <w:tc>
          <w:tcPr>
            <w:tcW w:w="86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2024-63</w:t>
            </w:r>
          </w:p>
        </w:tc>
        <w:tc>
          <w:tcPr>
            <w:tcW w:w="3402"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关于股份回购进展情况的公告</w:t>
            </w:r>
          </w:p>
        </w:tc>
        <w:tc>
          <w:tcPr>
            <w:tcW w:w="1114"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jc w:val="center"/>
              <w:rPr>
                <w:sz w:val="18"/>
                <w:szCs w:val="18"/>
              </w:rPr>
            </w:pPr>
            <w:r w:rsidRPr="000C1FE6">
              <w:rPr>
                <w:rFonts w:hint="eastAsia"/>
                <w:sz w:val="18"/>
                <w:szCs w:val="18"/>
              </w:rPr>
              <w:t>2024-12-3</w:t>
            </w:r>
          </w:p>
        </w:tc>
        <w:tc>
          <w:tcPr>
            <w:tcW w:w="4131" w:type="dxa"/>
            <w:tcMar>
              <w:top w:w="10" w:type="dxa"/>
              <w:left w:w="10" w:type="dxa"/>
              <w:bottom w:w="10" w:type="dxa"/>
              <w:right w:w="10" w:type="dxa"/>
            </w:tcMar>
            <w:vAlign w:val="center"/>
            <w:hideMark/>
          </w:tcPr>
          <w:p w:rsidR="00A2119D" w:rsidRPr="000C1FE6" w:rsidRDefault="00A2119D" w:rsidP="000A6F26">
            <w:pPr>
              <w:pStyle w:val="a3"/>
              <w:spacing w:before="0" w:beforeAutospacing="0" w:after="0" w:afterAutospacing="0" w:line="240" w:lineRule="exact"/>
              <w:rPr>
                <w:sz w:val="18"/>
                <w:szCs w:val="18"/>
              </w:rPr>
            </w:pPr>
            <w:r w:rsidRPr="000C1FE6">
              <w:rPr>
                <w:rFonts w:hint="eastAsia"/>
                <w:sz w:val="18"/>
                <w:szCs w:val="18"/>
              </w:rPr>
              <w:t>中国证券报B015版、证券时报B45版、证券日报D10版、上海证券报110版、巨潮资讯网</w:t>
            </w:r>
          </w:p>
        </w:tc>
      </w:tr>
    </w:tbl>
    <w:p w:rsidR="00A27D66" w:rsidRDefault="00A2119D">
      <w:pPr>
        <w:pStyle w:val="2"/>
        <w:spacing w:before="300" w:after="300" w:line="320" w:lineRule="exact"/>
        <w:rPr>
          <w:rFonts w:ascii="宋体" w:eastAsia="宋体" w:hAnsi="宋体" w:cs="宋体"/>
          <w:b/>
          <w:bCs/>
          <w:sz w:val="24"/>
          <w:szCs w:val="24"/>
        </w:rPr>
      </w:pPr>
      <w:bookmarkStart w:id="132" w:name="_Toc989017"/>
      <w:r>
        <w:rPr>
          <w:rFonts w:ascii="宋体" w:eastAsia="宋体" w:hAnsi="宋体" w:cs="宋体"/>
          <w:b/>
          <w:bCs/>
          <w:sz w:val="24"/>
          <w:szCs w:val="24"/>
        </w:rPr>
        <w:t>十七、公司子公司重大事项</w:t>
      </w:r>
      <w:bookmarkEnd w:id="132"/>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r>
        <w:br w:type="page"/>
      </w:r>
    </w:p>
    <w:p w:rsidR="00A27D66" w:rsidRDefault="00A2119D">
      <w:pPr>
        <w:pStyle w:val="headingh1"/>
        <w:spacing w:before="340" w:after="330" w:line="773" w:lineRule="exact"/>
        <w:jc w:val="center"/>
        <w:rPr>
          <w:rFonts w:ascii="宋体" w:eastAsia="宋体" w:hAnsi="宋体" w:cs="宋体"/>
          <w:b/>
          <w:bCs/>
          <w:sz w:val="32"/>
          <w:szCs w:val="32"/>
        </w:rPr>
      </w:pPr>
      <w:bookmarkStart w:id="133" w:name="_Toc989018"/>
      <w:r>
        <w:rPr>
          <w:rFonts w:ascii="宋体" w:eastAsia="宋体" w:hAnsi="宋体" w:cs="宋体"/>
          <w:b/>
          <w:bCs/>
          <w:sz w:val="32"/>
          <w:szCs w:val="32"/>
        </w:rPr>
        <w:lastRenderedPageBreak/>
        <w:t>第七节 股份变动及股东情况</w:t>
      </w:r>
      <w:bookmarkEnd w:id="133"/>
    </w:p>
    <w:p w:rsidR="00A27D66" w:rsidRDefault="00A2119D">
      <w:pPr>
        <w:pStyle w:val="2"/>
        <w:spacing w:before="300" w:after="300" w:line="320" w:lineRule="exact"/>
        <w:rPr>
          <w:rFonts w:ascii="宋体" w:eastAsia="宋体" w:hAnsi="宋体" w:cs="宋体"/>
          <w:b/>
          <w:bCs/>
          <w:sz w:val="24"/>
          <w:szCs w:val="24"/>
        </w:rPr>
      </w:pPr>
      <w:bookmarkStart w:id="134" w:name="_Toc989019"/>
      <w:r>
        <w:rPr>
          <w:rFonts w:ascii="宋体" w:eastAsia="宋体" w:hAnsi="宋体" w:cs="宋体"/>
          <w:b/>
          <w:bCs/>
          <w:sz w:val="24"/>
          <w:szCs w:val="24"/>
        </w:rPr>
        <w:t>一、股份变动情况</w:t>
      </w:r>
      <w:bookmarkEnd w:id="134"/>
    </w:p>
    <w:p w:rsidR="00A27D66" w:rsidRDefault="00A2119D">
      <w:pPr>
        <w:pStyle w:val="3"/>
        <w:spacing w:line="280" w:lineRule="exact"/>
        <w:jc w:val="left"/>
        <w:rPr>
          <w:rFonts w:ascii="宋体" w:hAnsi="宋体" w:cs="宋体"/>
          <w:b/>
          <w:bCs/>
        </w:rPr>
      </w:pPr>
      <w:bookmarkStart w:id="135" w:name="_Toc989020"/>
      <w:r>
        <w:rPr>
          <w:rFonts w:ascii="宋体" w:hAnsi="宋体" w:cs="宋体"/>
          <w:b/>
          <w:bCs/>
        </w:rPr>
        <w:t>1、股份变动情况</w:t>
      </w:r>
      <w:bookmarkEnd w:id="135"/>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3"/>
        <w:gridCol w:w="964"/>
        <w:gridCol w:w="964"/>
        <w:gridCol w:w="964"/>
        <w:gridCol w:w="964"/>
        <w:gridCol w:w="964"/>
        <w:gridCol w:w="964"/>
        <w:gridCol w:w="964"/>
        <w:gridCol w:w="964"/>
        <w:gridCol w:w="964"/>
      </w:tblGrid>
      <w:tr w:rsidR="00A27D66">
        <w:trPr>
          <w:trHeight w:val="240"/>
        </w:trPr>
        <w:tc>
          <w:tcPr>
            <w:tcW w:w="96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本次变动前</w:t>
            </w:r>
          </w:p>
        </w:tc>
        <w:tc>
          <w:tcPr>
            <w:tcW w:w="482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92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本次变动后</w:t>
            </w:r>
          </w:p>
        </w:tc>
      </w:tr>
      <w:tr w:rsidR="00A27D66">
        <w:trPr>
          <w:trHeight w:val="240"/>
        </w:trPr>
        <w:tc>
          <w:tcPr>
            <w:tcW w:w="96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一、有限</w:t>
            </w:r>
            <w:proofErr w:type="gramStart"/>
            <w:r>
              <w:rPr>
                <w:rFonts w:ascii="宋体" w:eastAsia="宋体" w:hAnsi="宋体" w:cs="宋体"/>
                <w:sz w:val="18"/>
                <w:szCs w:val="18"/>
              </w:rPr>
              <w:t>售条件</w:t>
            </w:r>
            <w:proofErr w:type="gramEnd"/>
            <w:r>
              <w:rPr>
                <w:rFonts w:ascii="宋体" w:eastAsia="宋体" w:hAnsi="宋体" w:cs="宋体"/>
                <w:sz w:val="18"/>
                <w:szCs w:val="18"/>
              </w:rPr>
              <w:t>股份</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12,106,085</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2.74%</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-9,540,260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-9,540,260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2,565,825</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0.59%</w:t>
            </w: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1、国家持股</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2、国有法人持股</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3、其他内资持股</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12,106,085</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2.74%</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-9,540,260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-9,540,260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2,565,825</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0.59%</w:t>
            </w: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其中：境内法人持股</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2,496,185</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0.56%</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2,496,185</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0.57%</w:t>
            </w: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境内自然人持股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9,609,900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2.17%</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-9,540,260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-9,540,260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69,640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0.02%</w:t>
            </w: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4、外资持股</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其中：境外法人持股</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境外自然人持股</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二、无限</w:t>
            </w:r>
            <w:proofErr w:type="gramStart"/>
            <w:r>
              <w:rPr>
                <w:rFonts w:ascii="宋体" w:eastAsia="宋体" w:hAnsi="宋体" w:cs="宋体"/>
                <w:sz w:val="18"/>
                <w:szCs w:val="18"/>
              </w:rPr>
              <w:t>售条件</w:t>
            </w:r>
            <w:proofErr w:type="gramEnd"/>
            <w:r>
              <w:rPr>
                <w:rFonts w:ascii="宋体" w:eastAsia="宋体" w:hAnsi="宋体" w:cs="宋体"/>
                <w:sz w:val="18"/>
                <w:szCs w:val="18"/>
              </w:rPr>
              <w:t>股份</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430,525,649</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97.26%</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3,326,740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3,326,740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433,852,389</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99.41%</w:t>
            </w: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1、人民币普通股</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430,525,649</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97.26%</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3,326,740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3,326,740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433,852,389</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99.41%</w:t>
            </w: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2、境内上市的外资股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3、境外上市的外资股</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4、其</w:t>
            </w:r>
            <w:r>
              <w:rPr>
                <w:rFonts w:ascii="宋体" w:eastAsia="宋体" w:hAnsi="宋体" w:cs="宋体"/>
                <w:sz w:val="18"/>
                <w:szCs w:val="18"/>
              </w:rPr>
              <w:lastRenderedPageBreak/>
              <w:t>他</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三、股份总数</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442,631,734</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-6,213,520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-6,213,520</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436,418,214</w:t>
            </w:r>
          </w:p>
        </w:tc>
        <w:tc>
          <w:tcPr>
            <w:tcW w:w="96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股份变动的原因</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119D" w:rsidRPr="00003D92" w:rsidRDefault="00A2119D" w:rsidP="00831BA6">
      <w:pPr>
        <w:pStyle w:val="a3"/>
        <w:spacing w:before="0" w:beforeAutospacing="0" w:after="0" w:afterAutospacing="0" w:line="360" w:lineRule="auto"/>
        <w:ind w:firstLine="561"/>
        <w:jc w:val="both"/>
        <w:divId w:val="34039943"/>
        <w:rPr>
          <w:color w:val="000000"/>
          <w:sz w:val="21"/>
          <w:szCs w:val="21"/>
        </w:rPr>
      </w:pPr>
      <w:r w:rsidRPr="00003D92">
        <w:rPr>
          <w:rFonts w:hint="eastAsia"/>
          <w:color w:val="000000"/>
          <w:sz w:val="21"/>
          <w:szCs w:val="21"/>
        </w:rPr>
        <w:t>（1）2024年1月16日，公司提前完成了董事会、监事会及管理层的换届工作，部分离职董事及高级管理人员所持的公司股份锁定发生了变化。</w:t>
      </w:r>
    </w:p>
    <w:p w:rsidR="00A2119D" w:rsidRPr="00003D92" w:rsidRDefault="00A2119D" w:rsidP="00831BA6">
      <w:pPr>
        <w:pStyle w:val="a3"/>
        <w:spacing w:before="0" w:beforeAutospacing="0" w:after="0" w:afterAutospacing="0" w:line="360" w:lineRule="auto"/>
        <w:ind w:firstLine="561"/>
        <w:jc w:val="both"/>
        <w:divId w:val="34039943"/>
        <w:rPr>
          <w:color w:val="000000"/>
          <w:sz w:val="21"/>
          <w:szCs w:val="21"/>
        </w:rPr>
      </w:pPr>
      <w:r w:rsidRPr="00003D92">
        <w:rPr>
          <w:rFonts w:hint="eastAsia"/>
          <w:color w:val="000000"/>
          <w:sz w:val="21"/>
          <w:szCs w:val="21"/>
        </w:rPr>
        <w:t>（2）公司于2024年3月6日注销了2021年3月回购完毕的剩余回购股份4,482,462股。</w:t>
      </w:r>
    </w:p>
    <w:p w:rsidR="00A2119D" w:rsidRPr="00003D92" w:rsidRDefault="00A2119D" w:rsidP="00831BA6">
      <w:pPr>
        <w:pStyle w:val="a3"/>
        <w:spacing w:before="0" w:beforeAutospacing="0" w:after="0" w:afterAutospacing="0" w:line="360" w:lineRule="auto"/>
        <w:ind w:firstLine="561"/>
        <w:jc w:val="both"/>
        <w:divId w:val="34039943"/>
        <w:rPr>
          <w:color w:val="000000"/>
          <w:sz w:val="21"/>
          <w:szCs w:val="21"/>
        </w:rPr>
      </w:pPr>
      <w:r w:rsidRPr="00003D92">
        <w:rPr>
          <w:rFonts w:hint="eastAsia"/>
          <w:color w:val="000000"/>
          <w:sz w:val="21"/>
          <w:szCs w:val="21"/>
        </w:rPr>
        <w:t>（3）</w:t>
      </w:r>
      <w:r w:rsidRPr="008B5490">
        <w:rPr>
          <w:rFonts w:hint="eastAsia"/>
          <w:color w:val="000000"/>
          <w:sz w:val="21"/>
          <w:szCs w:val="21"/>
        </w:rPr>
        <w:t>公司于2024年8月16日办理完成67名股权激励对象</w:t>
      </w:r>
      <w:proofErr w:type="gramStart"/>
      <w:r w:rsidRPr="008B5490">
        <w:rPr>
          <w:rFonts w:hint="eastAsia"/>
          <w:color w:val="000000"/>
          <w:sz w:val="21"/>
          <w:szCs w:val="21"/>
        </w:rPr>
        <w:t>已获授但尚未</w:t>
      </w:r>
      <w:proofErr w:type="gramEnd"/>
      <w:r w:rsidRPr="008B5490">
        <w:rPr>
          <w:rFonts w:hint="eastAsia"/>
          <w:color w:val="000000"/>
          <w:sz w:val="21"/>
          <w:szCs w:val="21"/>
        </w:rPr>
        <w:t>解除限售的限制性股票共计1,731,058股的回购注销事宜</w:t>
      </w:r>
      <w:r w:rsidRPr="00003D92">
        <w:rPr>
          <w:rFonts w:hint="eastAsia"/>
          <w:color w:val="000000"/>
          <w:sz w:val="21"/>
          <w:szCs w:val="21"/>
        </w:rPr>
        <w:t>。</w:t>
      </w:r>
    </w:p>
    <w:p w:rsidR="00A2119D" w:rsidRPr="00003D92" w:rsidRDefault="00A2119D" w:rsidP="00831BA6">
      <w:pPr>
        <w:pStyle w:val="a3"/>
        <w:spacing w:before="0" w:beforeAutospacing="0" w:after="0" w:afterAutospacing="0" w:line="360" w:lineRule="auto"/>
        <w:ind w:firstLine="561"/>
        <w:jc w:val="both"/>
        <w:divId w:val="34039943"/>
        <w:rPr>
          <w:color w:val="000000"/>
          <w:sz w:val="21"/>
          <w:szCs w:val="21"/>
        </w:rPr>
      </w:pPr>
      <w:r w:rsidRPr="008B5490">
        <w:rPr>
          <w:rFonts w:hint="eastAsia"/>
          <w:color w:val="000000"/>
          <w:sz w:val="21"/>
          <w:szCs w:val="21"/>
        </w:rPr>
        <w:t>（4）根据《深圳证券交易所上市公司自律监管指引第18号——股东及董事、监事、高级管理人员减持股份》相关规定，</w:t>
      </w:r>
      <w:proofErr w:type="gramStart"/>
      <w:r w:rsidRPr="008B5490">
        <w:rPr>
          <w:rFonts w:hint="eastAsia"/>
          <w:color w:val="000000"/>
          <w:sz w:val="21"/>
          <w:szCs w:val="21"/>
        </w:rPr>
        <w:t>董监高在</w:t>
      </w:r>
      <w:proofErr w:type="gramEnd"/>
      <w:r w:rsidRPr="008B5490">
        <w:rPr>
          <w:rFonts w:hint="eastAsia"/>
          <w:color w:val="000000"/>
          <w:sz w:val="21"/>
          <w:szCs w:val="21"/>
        </w:rPr>
        <w:t>其就任时确定的任期内和任期届满后六个月内，每年度通过集中竞价、大宗交易、协议转让等方式转让的股份，不得超过其所持本公司股份总数的25%，剩余75%股份将进行锁定。</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股份变动的批准情况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股份变动的过户情况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股份变动对最近一年和最近一期基本每股收益和稀释每股收益、归属于公司普通股股东的每股净资产等财务指标的影响</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119D" w:rsidRPr="008B5490" w:rsidRDefault="00A2119D" w:rsidP="00831BA6">
      <w:pPr>
        <w:pStyle w:val="a3"/>
        <w:spacing w:before="0" w:beforeAutospacing="0" w:after="0" w:afterAutospacing="0" w:line="360" w:lineRule="auto"/>
        <w:ind w:firstLine="561"/>
        <w:jc w:val="both"/>
        <w:divId w:val="915868065"/>
        <w:rPr>
          <w:color w:val="000000"/>
          <w:sz w:val="21"/>
          <w:szCs w:val="21"/>
        </w:rPr>
      </w:pPr>
      <w:r w:rsidRPr="008B5490">
        <w:rPr>
          <w:rFonts w:hint="eastAsia"/>
          <w:color w:val="000000"/>
          <w:sz w:val="21"/>
          <w:szCs w:val="21"/>
        </w:rPr>
        <w:t>报告期内，公司注销了2021年3月回购完毕的剩余回购股份4,482,462股及2021年限制性股票激励计划的限制性股票1,731,058股，上述注销的股份合计6,213,520股。由于股份变动数量占期末总股本比例较小，股份变动对最近一期基本每股收益和稀释每股收益、归属于公司普通股股东的每股净资产等指标无重大影响。</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公司认为必要或证券监管机构要求披露的其他内容</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136" w:name="_Toc989021"/>
      <w:r>
        <w:rPr>
          <w:rFonts w:ascii="宋体" w:hAnsi="宋体" w:cs="宋体"/>
          <w:b/>
          <w:bCs/>
        </w:rPr>
        <w:t>2、限售股份变动情况</w:t>
      </w:r>
      <w:bookmarkEnd w:id="136"/>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074"/>
        <w:gridCol w:w="1417"/>
        <w:gridCol w:w="1134"/>
        <w:gridCol w:w="1883"/>
        <w:gridCol w:w="1377"/>
      </w:tblGrid>
      <w:tr w:rsidR="00A27D66" w:rsidTr="008B549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期初限售股数</w:t>
            </w:r>
          </w:p>
        </w:tc>
        <w:tc>
          <w:tcPr>
            <w:tcW w:w="107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本期增加限售股数</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本期解除限售股数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期末限售股数</w:t>
            </w:r>
          </w:p>
        </w:tc>
        <w:tc>
          <w:tcPr>
            <w:tcW w:w="188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限售原因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解除限售日期</w:t>
            </w:r>
          </w:p>
        </w:tc>
      </w:tr>
      <w:tr w:rsidR="00A27D66" w:rsidTr="008B549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高管</w:t>
            </w:r>
            <w:proofErr w:type="gramStart"/>
            <w:r>
              <w:rPr>
                <w:rFonts w:ascii="宋体" w:eastAsia="宋体" w:hAnsi="宋体" w:cs="宋体"/>
                <w:sz w:val="18"/>
                <w:szCs w:val="18"/>
              </w:rPr>
              <w:t>锁定股</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7,878,842</w:t>
            </w:r>
          </w:p>
        </w:tc>
        <w:tc>
          <w:tcPr>
            <w:tcW w:w="107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7,809,202</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69,640</w:t>
            </w:r>
          </w:p>
        </w:tc>
        <w:tc>
          <w:tcPr>
            <w:tcW w:w="188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根据相关法律法规的规定，</w:t>
            </w:r>
            <w:proofErr w:type="gramStart"/>
            <w:r>
              <w:rPr>
                <w:rFonts w:ascii="宋体" w:eastAsia="宋体" w:hAnsi="宋体" w:cs="宋体"/>
                <w:sz w:val="18"/>
                <w:szCs w:val="18"/>
              </w:rPr>
              <w:t>董监高在</w:t>
            </w:r>
            <w:proofErr w:type="gramEnd"/>
            <w:r>
              <w:rPr>
                <w:rFonts w:ascii="宋体" w:eastAsia="宋体" w:hAnsi="宋体" w:cs="宋体"/>
                <w:sz w:val="18"/>
                <w:szCs w:val="18"/>
              </w:rPr>
              <w:t>其就任时确定的任期内和任期届满后六个月</w:t>
            </w:r>
            <w:r>
              <w:rPr>
                <w:rFonts w:ascii="宋体" w:eastAsia="宋体" w:hAnsi="宋体" w:cs="宋体"/>
                <w:sz w:val="18"/>
                <w:szCs w:val="18"/>
              </w:rPr>
              <w:lastRenderedPageBreak/>
              <w:t>内，每年度通过集中竞价、大宗交易、协议转让等方式转让的股份，不得超过其所持本公司股份总数的25%，剩余75%股份将进行锁定。</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每年所持股份的25%解除限售，任期届满后六个月后所</w:t>
            </w:r>
            <w:r>
              <w:rPr>
                <w:rFonts w:ascii="宋体" w:eastAsia="宋体" w:hAnsi="宋体" w:cs="宋体"/>
                <w:sz w:val="18"/>
                <w:szCs w:val="18"/>
              </w:rPr>
              <w:lastRenderedPageBreak/>
              <w:t>持股份全部解除限售。</w:t>
            </w:r>
          </w:p>
        </w:tc>
      </w:tr>
      <w:tr w:rsidR="00A27D66" w:rsidTr="008B549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股权激励限售股</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1,731,058</w:t>
            </w:r>
          </w:p>
        </w:tc>
        <w:tc>
          <w:tcPr>
            <w:tcW w:w="107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1,731,058</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88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公司2021年限制性股票激励计划的限制性股票</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公司2024年8月16日回购注销了1,731,058股限制性股票。</w:t>
            </w:r>
          </w:p>
        </w:tc>
      </w:tr>
      <w:tr w:rsidR="00A27D66" w:rsidTr="008B549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9,609,900</w:t>
            </w:r>
          </w:p>
        </w:tc>
        <w:tc>
          <w:tcPr>
            <w:tcW w:w="107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9,540,260</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69,640</w:t>
            </w:r>
          </w:p>
        </w:tc>
        <w:tc>
          <w:tcPr>
            <w:tcW w:w="188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A27D66" w:rsidRDefault="00A2119D">
      <w:pPr>
        <w:pStyle w:val="2"/>
        <w:spacing w:before="300" w:after="300" w:line="320" w:lineRule="exact"/>
        <w:rPr>
          <w:rFonts w:ascii="宋体" w:eastAsia="宋体" w:hAnsi="宋体" w:cs="宋体"/>
          <w:b/>
          <w:bCs/>
          <w:sz w:val="24"/>
          <w:szCs w:val="24"/>
        </w:rPr>
      </w:pPr>
      <w:bookmarkStart w:id="137" w:name="_Toc989022"/>
      <w:r>
        <w:rPr>
          <w:rFonts w:ascii="宋体" w:eastAsia="宋体" w:hAnsi="宋体" w:cs="宋体"/>
          <w:b/>
          <w:bCs/>
          <w:sz w:val="24"/>
          <w:szCs w:val="24"/>
        </w:rPr>
        <w:t>二、证券发行与上市情况</w:t>
      </w:r>
      <w:bookmarkEnd w:id="137"/>
    </w:p>
    <w:p w:rsidR="00A27D66" w:rsidRDefault="00A2119D">
      <w:pPr>
        <w:pStyle w:val="3"/>
        <w:spacing w:line="280" w:lineRule="exact"/>
        <w:jc w:val="left"/>
        <w:rPr>
          <w:rFonts w:ascii="宋体" w:hAnsi="宋体" w:cs="宋体"/>
          <w:b/>
          <w:bCs/>
        </w:rPr>
      </w:pPr>
      <w:bookmarkStart w:id="138" w:name="_Toc989023"/>
      <w:r>
        <w:rPr>
          <w:rFonts w:ascii="宋体" w:hAnsi="宋体" w:cs="宋体"/>
          <w:b/>
          <w:bCs/>
        </w:rPr>
        <w:t>1、报告期内证券发行（不含优先股）情况</w:t>
      </w:r>
      <w:bookmarkEnd w:id="138"/>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139" w:name="_Toc989024"/>
      <w:r>
        <w:rPr>
          <w:rFonts w:ascii="宋体" w:hAnsi="宋体" w:cs="宋体"/>
          <w:b/>
          <w:bCs/>
        </w:rPr>
        <w:t>2、公司股份总数及股东结构的变动、公司资产和负债结构的变动情况说明</w:t>
      </w:r>
      <w:bookmarkEnd w:id="139"/>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119D" w:rsidRPr="008B5490" w:rsidRDefault="00A2119D" w:rsidP="00831BA6">
      <w:pPr>
        <w:pStyle w:val="a3"/>
        <w:spacing w:before="0" w:beforeAutospacing="0" w:after="0" w:afterAutospacing="0" w:line="360" w:lineRule="auto"/>
        <w:ind w:firstLine="561"/>
        <w:jc w:val="both"/>
        <w:divId w:val="1731147829"/>
        <w:rPr>
          <w:color w:val="000000"/>
          <w:sz w:val="21"/>
          <w:szCs w:val="21"/>
        </w:rPr>
      </w:pPr>
      <w:r w:rsidRPr="008B5490">
        <w:rPr>
          <w:rFonts w:hint="eastAsia"/>
          <w:color w:val="000000"/>
          <w:sz w:val="21"/>
          <w:szCs w:val="21"/>
        </w:rPr>
        <w:t>报告期内，公司注销了2021年3月回购完毕的剩余回购股份4,482,462股及2021年限制性股票激励计划的限制性股票1,731,058股，上述注销的股份合计6,213,520股。注销完成后，公司总股本由442,631,734变更为436,418,214股。</w:t>
      </w:r>
    </w:p>
    <w:p w:rsidR="00A27D66" w:rsidRDefault="00A2119D">
      <w:pPr>
        <w:pStyle w:val="3"/>
        <w:spacing w:line="280" w:lineRule="exact"/>
        <w:jc w:val="left"/>
        <w:rPr>
          <w:rFonts w:ascii="宋体" w:hAnsi="宋体" w:cs="宋体"/>
          <w:b/>
          <w:bCs/>
        </w:rPr>
      </w:pPr>
      <w:bookmarkStart w:id="140" w:name="_Toc989025"/>
      <w:r>
        <w:rPr>
          <w:rFonts w:ascii="宋体" w:hAnsi="宋体" w:cs="宋体"/>
          <w:b/>
          <w:bCs/>
        </w:rPr>
        <w:t>3、现存的内部职工股情况</w:t>
      </w:r>
      <w:bookmarkEnd w:id="140"/>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141" w:name="_Toc989026"/>
      <w:r>
        <w:rPr>
          <w:rFonts w:ascii="宋体" w:eastAsia="宋体" w:hAnsi="宋体" w:cs="宋体"/>
          <w:b/>
          <w:bCs/>
          <w:sz w:val="24"/>
          <w:szCs w:val="24"/>
        </w:rPr>
        <w:t>三、股东和实际控制人情况</w:t>
      </w:r>
      <w:bookmarkEnd w:id="141"/>
    </w:p>
    <w:p w:rsidR="00A27D66" w:rsidRDefault="00A2119D">
      <w:pPr>
        <w:pStyle w:val="3"/>
        <w:spacing w:line="280" w:lineRule="exact"/>
        <w:jc w:val="left"/>
        <w:rPr>
          <w:rFonts w:ascii="宋体" w:hAnsi="宋体" w:cs="宋体"/>
          <w:b/>
          <w:bCs/>
        </w:rPr>
      </w:pPr>
      <w:bookmarkStart w:id="142" w:name="_Toc989027"/>
      <w:r>
        <w:rPr>
          <w:rFonts w:ascii="宋体" w:hAnsi="宋体" w:cs="宋体"/>
          <w:b/>
          <w:bCs/>
        </w:rPr>
        <w:t>1、公司股东数量及持股情况</w:t>
      </w:r>
      <w:bookmarkEnd w:id="142"/>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1134"/>
        <w:gridCol w:w="284"/>
        <w:gridCol w:w="519"/>
        <w:gridCol w:w="1323"/>
        <w:gridCol w:w="1134"/>
        <w:gridCol w:w="851"/>
        <w:gridCol w:w="567"/>
        <w:gridCol w:w="567"/>
        <w:gridCol w:w="850"/>
        <w:gridCol w:w="1134"/>
      </w:tblGrid>
      <w:tr w:rsidR="00A27D66" w:rsidRPr="008B5490" w:rsidTr="00052598">
        <w:trPr>
          <w:trHeight w:val="240"/>
        </w:trPr>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rPr>
                <w:rFonts w:ascii="宋体" w:eastAsia="宋体" w:hAnsi="宋体" w:cs="宋体"/>
                <w:sz w:val="18"/>
                <w:szCs w:val="18"/>
              </w:rPr>
            </w:pPr>
            <w:r w:rsidRPr="008B5490">
              <w:rPr>
                <w:rFonts w:ascii="宋体" w:eastAsia="宋体" w:hAnsi="宋体" w:cs="宋体"/>
                <w:sz w:val="18"/>
                <w:szCs w:val="18"/>
              </w:rPr>
              <w:t>报告期末普通股股东总数</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30,591</w:t>
            </w:r>
          </w:p>
        </w:tc>
        <w:tc>
          <w:tcPr>
            <w:tcW w:w="80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rPr>
                <w:rFonts w:ascii="宋体" w:eastAsia="宋体" w:hAnsi="宋体" w:cs="宋体"/>
                <w:sz w:val="18"/>
                <w:szCs w:val="18"/>
              </w:rPr>
            </w:pPr>
            <w:r w:rsidRPr="008B5490">
              <w:rPr>
                <w:rFonts w:ascii="宋体" w:eastAsia="宋体" w:hAnsi="宋体" w:cs="宋体"/>
                <w:sz w:val="18"/>
                <w:szCs w:val="18"/>
              </w:rPr>
              <w:t>年度报告披露日前上一月末普通股股东总数</w:t>
            </w:r>
          </w:p>
        </w:tc>
        <w:tc>
          <w:tcPr>
            <w:tcW w:w="1323"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29,149</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rPr>
                <w:rFonts w:ascii="宋体" w:eastAsia="宋体" w:hAnsi="宋体" w:cs="宋体"/>
                <w:sz w:val="18"/>
                <w:szCs w:val="18"/>
              </w:rPr>
            </w:pPr>
            <w:r w:rsidRPr="008B5490">
              <w:rPr>
                <w:rFonts w:ascii="宋体" w:eastAsia="宋体" w:hAnsi="宋体" w:cs="宋体"/>
                <w:sz w:val="18"/>
                <w:szCs w:val="18"/>
              </w:rPr>
              <w:t>报告期末表决权恢复的优先股股东总数（如有）（参见注8）</w:t>
            </w:r>
          </w:p>
        </w:tc>
        <w:tc>
          <w:tcPr>
            <w:tcW w:w="851"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c>
          <w:tcPr>
            <w:tcW w:w="198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rPr>
                <w:rFonts w:ascii="宋体" w:eastAsia="宋体" w:hAnsi="宋体" w:cs="宋体"/>
                <w:sz w:val="18"/>
                <w:szCs w:val="18"/>
              </w:rPr>
            </w:pPr>
            <w:r w:rsidRPr="008B5490">
              <w:rPr>
                <w:rFonts w:ascii="宋体" w:eastAsia="宋体" w:hAnsi="宋体" w:cs="宋体"/>
                <w:sz w:val="18"/>
                <w:szCs w:val="18"/>
              </w:rPr>
              <w:t>年度报告披露日前上一月末表决权恢复的优先股股东总数（如有）（参见注8）</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r>
      <w:tr w:rsidR="00A27D66" w:rsidRPr="008B549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持股5%以上的股东或前10名股东持股情况（不含通过转融通出借股份）</w:t>
            </w:r>
          </w:p>
        </w:tc>
      </w:tr>
      <w:tr w:rsidR="00A27D66" w:rsidRPr="008B5490" w:rsidTr="00052598">
        <w:trPr>
          <w:trHeight w:val="240"/>
        </w:trPr>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股东名称</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股东性质</w:t>
            </w:r>
          </w:p>
        </w:tc>
        <w:tc>
          <w:tcPr>
            <w:tcW w:w="803"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持股比例</w:t>
            </w:r>
          </w:p>
        </w:tc>
        <w:tc>
          <w:tcPr>
            <w:tcW w:w="132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报告期末持股数量</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报告期内增减变动情况</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持有有限</w:t>
            </w:r>
            <w:proofErr w:type="gramStart"/>
            <w:r w:rsidRPr="008B5490">
              <w:rPr>
                <w:rFonts w:ascii="宋体" w:eastAsia="宋体" w:hAnsi="宋体" w:cs="宋体"/>
                <w:sz w:val="18"/>
                <w:szCs w:val="18"/>
              </w:rPr>
              <w:t>售条件</w:t>
            </w:r>
            <w:proofErr w:type="gramEnd"/>
            <w:r w:rsidRPr="008B5490">
              <w:rPr>
                <w:rFonts w:ascii="宋体" w:eastAsia="宋体" w:hAnsi="宋体" w:cs="宋体"/>
                <w:sz w:val="18"/>
                <w:szCs w:val="18"/>
              </w:rPr>
              <w:t>的股份数量</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持有无限</w:t>
            </w:r>
            <w:proofErr w:type="gramStart"/>
            <w:r w:rsidRPr="008B5490">
              <w:rPr>
                <w:rFonts w:ascii="宋体" w:eastAsia="宋体" w:hAnsi="宋体" w:cs="宋体"/>
                <w:sz w:val="18"/>
                <w:szCs w:val="18"/>
              </w:rPr>
              <w:t>售条件</w:t>
            </w:r>
            <w:proofErr w:type="gramEnd"/>
            <w:r w:rsidRPr="008B5490">
              <w:rPr>
                <w:rFonts w:ascii="宋体" w:eastAsia="宋体" w:hAnsi="宋体" w:cs="宋体"/>
                <w:sz w:val="18"/>
                <w:szCs w:val="18"/>
              </w:rPr>
              <w:t>的股份数量</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质押、标记或冻结情况</w:t>
            </w:r>
          </w:p>
        </w:tc>
      </w:tr>
      <w:tr w:rsidR="00A27D66" w:rsidRPr="008B5490" w:rsidTr="00052598">
        <w:trPr>
          <w:trHeight w:val="240"/>
        </w:trPr>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7D66">
            <w:pPr>
              <w:rPr>
                <w:rFonts w:ascii="宋体" w:eastAsia="宋体" w:hAnsi="宋体"/>
                <w:sz w:val="18"/>
                <w:szCs w:val="18"/>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7D66">
            <w:pPr>
              <w:rPr>
                <w:rFonts w:ascii="宋体" w:eastAsia="宋体" w:hAnsi="宋体"/>
                <w:sz w:val="18"/>
                <w:szCs w:val="18"/>
              </w:rPr>
            </w:pPr>
          </w:p>
        </w:tc>
        <w:tc>
          <w:tcPr>
            <w:tcW w:w="803"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7D66">
            <w:pPr>
              <w:rPr>
                <w:rFonts w:ascii="宋体" w:eastAsia="宋体" w:hAnsi="宋体"/>
                <w:sz w:val="18"/>
                <w:szCs w:val="18"/>
              </w:rPr>
            </w:pPr>
          </w:p>
        </w:tc>
        <w:tc>
          <w:tcPr>
            <w:tcW w:w="132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7D66">
            <w:pPr>
              <w:rPr>
                <w:rFonts w:ascii="宋体" w:eastAsia="宋体" w:hAnsi="宋体"/>
                <w:sz w:val="18"/>
                <w:szCs w:val="18"/>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7D66">
            <w:pPr>
              <w:rPr>
                <w:rFonts w:ascii="宋体" w:eastAsia="宋体" w:hAnsi="宋体"/>
                <w:sz w:val="18"/>
                <w:szCs w:val="18"/>
              </w:rPr>
            </w:pPr>
          </w:p>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7D66">
            <w:pPr>
              <w:rPr>
                <w:rFonts w:ascii="宋体" w:eastAsia="宋体" w:hAnsi="宋体"/>
                <w:sz w:val="18"/>
                <w:szCs w:val="18"/>
              </w:rPr>
            </w:pPr>
          </w:p>
        </w:tc>
        <w:tc>
          <w:tcPr>
            <w:tcW w:w="1134"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7D66">
            <w:pPr>
              <w:rPr>
                <w:rFonts w:ascii="宋体" w:eastAsia="宋体" w:hAnsi="宋体"/>
                <w:sz w:val="18"/>
                <w:szCs w:val="18"/>
              </w:rPr>
            </w:pP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股份状态</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数量</w:t>
            </w:r>
          </w:p>
        </w:tc>
      </w:tr>
      <w:tr w:rsidR="00A2208E" w:rsidRPr="008B5490" w:rsidTr="00052598">
        <w:trPr>
          <w:trHeight w:val="240"/>
        </w:trPr>
        <w:tc>
          <w:tcPr>
            <w:tcW w:w="1276" w:type="dxa"/>
            <w:vMerge w:val="restart"/>
            <w:tcBorders>
              <w:top w:val="single" w:sz="2" w:space="0" w:color="auto"/>
              <w:left w:val="single" w:sz="2" w:space="0" w:color="auto"/>
              <w:right w:val="single" w:sz="2" w:space="0" w:color="auto"/>
            </w:tcBorders>
            <w:vAlign w:val="center"/>
          </w:tcPr>
          <w:p w:rsidR="00A2208E" w:rsidRPr="008B5490" w:rsidRDefault="00A2208E" w:rsidP="00C369D4">
            <w:pPr>
              <w:spacing w:line="240" w:lineRule="exact"/>
              <w:rPr>
                <w:rFonts w:ascii="宋体" w:eastAsia="宋体" w:hAnsi="宋体" w:cs="宋体"/>
                <w:sz w:val="18"/>
                <w:szCs w:val="18"/>
              </w:rPr>
            </w:pPr>
            <w:r w:rsidRPr="008B5490">
              <w:rPr>
                <w:rFonts w:ascii="宋体" w:eastAsia="宋体" w:hAnsi="宋体" w:cs="宋体"/>
                <w:sz w:val="18"/>
                <w:szCs w:val="18"/>
              </w:rPr>
              <w:lastRenderedPageBreak/>
              <w:t>德力西集团有限公司</w:t>
            </w:r>
          </w:p>
        </w:tc>
        <w:tc>
          <w:tcPr>
            <w:tcW w:w="1134" w:type="dxa"/>
            <w:vMerge w:val="restart"/>
            <w:tcBorders>
              <w:top w:val="single" w:sz="2" w:space="0" w:color="auto"/>
              <w:left w:val="single" w:sz="2" w:space="0" w:color="auto"/>
              <w:right w:val="single" w:sz="2" w:space="0" w:color="auto"/>
            </w:tcBorders>
            <w:vAlign w:val="center"/>
          </w:tcPr>
          <w:p w:rsidR="00A2208E" w:rsidRPr="008B5490" w:rsidRDefault="00A2208E" w:rsidP="00C369D4">
            <w:pPr>
              <w:spacing w:line="240" w:lineRule="exact"/>
              <w:rPr>
                <w:rFonts w:ascii="宋体" w:eastAsia="宋体" w:hAnsi="宋体" w:cs="宋体"/>
                <w:sz w:val="18"/>
                <w:szCs w:val="18"/>
              </w:rPr>
            </w:pPr>
            <w:r w:rsidRPr="008B5490">
              <w:rPr>
                <w:rFonts w:ascii="宋体" w:eastAsia="宋体" w:hAnsi="宋体" w:cs="宋体"/>
                <w:sz w:val="18"/>
                <w:szCs w:val="18"/>
              </w:rPr>
              <w:t>境内非国有法人</w:t>
            </w:r>
          </w:p>
        </w:tc>
        <w:tc>
          <w:tcPr>
            <w:tcW w:w="803" w:type="dxa"/>
            <w:gridSpan w:val="2"/>
            <w:vMerge w:val="restart"/>
            <w:tcBorders>
              <w:top w:val="single" w:sz="2" w:space="0" w:color="auto"/>
              <w:left w:val="single" w:sz="2" w:space="0" w:color="auto"/>
              <w:right w:val="single" w:sz="2" w:space="0" w:color="auto"/>
            </w:tcBorders>
            <w:vAlign w:val="center"/>
          </w:tcPr>
          <w:p w:rsidR="00A2208E" w:rsidRPr="008B5490" w:rsidRDefault="00A2208E" w:rsidP="00A2208E">
            <w:pPr>
              <w:spacing w:line="240" w:lineRule="exact"/>
              <w:jc w:val="right"/>
              <w:rPr>
                <w:rFonts w:ascii="宋体" w:eastAsia="宋体" w:hAnsi="宋体" w:cs="宋体"/>
                <w:sz w:val="18"/>
                <w:szCs w:val="18"/>
              </w:rPr>
            </w:pPr>
            <w:r w:rsidRPr="008B5490">
              <w:rPr>
                <w:rFonts w:ascii="宋体" w:eastAsia="宋体" w:hAnsi="宋体" w:cs="宋体"/>
                <w:sz w:val="18"/>
                <w:szCs w:val="18"/>
              </w:rPr>
              <w:t>42.64%</w:t>
            </w:r>
          </w:p>
        </w:tc>
        <w:tc>
          <w:tcPr>
            <w:tcW w:w="1323" w:type="dxa"/>
            <w:vMerge w:val="restart"/>
            <w:tcBorders>
              <w:top w:val="single" w:sz="2" w:space="0" w:color="auto"/>
              <w:left w:val="single" w:sz="2" w:space="0" w:color="auto"/>
              <w:right w:val="single" w:sz="2" w:space="0" w:color="auto"/>
            </w:tcBorders>
            <w:vAlign w:val="center"/>
          </w:tcPr>
          <w:p w:rsidR="00A2208E" w:rsidRPr="008B5490" w:rsidRDefault="00A2208E" w:rsidP="00A2208E">
            <w:pPr>
              <w:spacing w:line="240" w:lineRule="exact"/>
              <w:jc w:val="right"/>
              <w:rPr>
                <w:rFonts w:ascii="宋体" w:eastAsia="宋体" w:hAnsi="宋体" w:cs="宋体"/>
                <w:sz w:val="18"/>
                <w:szCs w:val="18"/>
              </w:rPr>
            </w:pPr>
            <w:r w:rsidRPr="008B5490">
              <w:rPr>
                <w:rFonts w:ascii="宋体" w:eastAsia="宋体" w:hAnsi="宋体" w:cs="宋体"/>
                <w:sz w:val="18"/>
                <w:szCs w:val="18"/>
              </w:rPr>
              <w:t>186,087,400</w:t>
            </w:r>
          </w:p>
        </w:tc>
        <w:tc>
          <w:tcPr>
            <w:tcW w:w="1134" w:type="dxa"/>
            <w:vMerge w:val="restart"/>
            <w:tcBorders>
              <w:top w:val="single" w:sz="2" w:space="0" w:color="auto"/>
              <w:left w:val="single" w:sz="2" w:space="0" w:color="auto"/>
              <w:right w:val="single" w:sz="2" w:space="0" w:color="auto"/>
            </w:tcBorders>
            <w:vAlign w:val="center"/>
          </w:tcPr>
          <w:p w:rsidR="00A2208E" w:rsidRPr="008B5490" w:rsidRDefault="00A2208E" w:rsidP="00052598">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c>
          <w:tcPr>
            <w:tcW w:w="851" w:type="dxa"/>
            <w:vMerge w:val="restart"/>
            <w:tcBorders>
              <w:top w:val="single" w:sz="2" w:space="0" w:color="auto"/>
              <w:left w:val="single" w:sz="2" w:space="0" w:color="auto"/>
              <w:right w:val="single" w:sz="2" w:space="0" w:color="auto"/>
            </w:tcBorders>
            <w:vAlign w:val="center"/>
          </w:tcPr>
          <w:p w:rsidR="00A2208E" w:rsidRPr="008B5490" w:rsidRDefault="00A2208E" w:rsidP="00A2208E">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c>
          <w:tcPr>
            <w:tcW w:w="1134" w:type="dxa"/>
            <w:gridSpan w:val="2"/>
            <w:vMerge w:val="restart"/>
            <w:tcBorders>
              <w:top w:val="single" w:sz="2" w:space="0" w:color="auto"/>
              <w:left w:val="single" w:sz="2" w:space="0" w:color="auto"/>
              <w:right w:val="single" w:sz="2" w:space="0" w:color="auto"/>
            </w:tcBorders>
            <w:vAlign w:val="center"/>
          </w:tcPr>
          <w:p w:rsidR="00A2208E" w:rsidRPr="008B5490" w:rsidRDefault="00A2208E" w:rsidP="00A2208E">
            <w:pPr>
              <w:spacing w:line="240" w:lineRule="exact"/>
              <w:jc w:val="right"/>
              <w:rPr>
                <w:rFonts w:ascii="宋体" w:eastAsia="宋体" w:hAnsi="宋体" w:cs="宋体"/>
                <w:sz w:val="18"/>
                <w:szCs w:val="18"/>
              </w:rPr>
            </w:pPr>
            <w:r w:rsidRPr="008B5490">
              <w:rPr>
                <w:rFonts w:ascii="宋体" w:eastAsia="宋体" w:hAnsi="宋体" w:cs="宋体"/>
                <w:sz w:val="18"/>
                <w:szCs w:val="18"/>
              </w:rPr>
              <w:t>186,087,400</w:t>
            </w:r>
          </w:p>
        </w:tc>
        <w:tc>
          <w:tcPr>
            <w:tcW w:w="850" w:type="dxa"/>
            <w:tcBorders>
              <w:top w:val="single" w:sz="2" w:space="0" w:color="auto"/>
              <w:left w:val="single" w:sz="2" w:space="0" w:color="auto"/>
              <w:bottom w:val="single" w:sz="2" w:space="0" w:color="auto"/>
              <w:right w:val="single" w:sz="2" w:space="0" w:color="auto"/>
            </w:tcBorders>
            <w:vAlign w:val="center"/>
          </w:tcPr>
          <w:p w:rsidR="00A2208E" w:rsidRPr="008B5490" w:rsidRDefault="00A2208E">
            <w:pPr>
              <w:spacing w:line="240" w:lineRule="exact"/>
              <w:rPr>
                <w:rFonts w:ascii="宋体" w:eastAsia="宋体" w:hAnsi="宋体" w:cs="宋体"/>
                <w:sz w:val="18"/>
                <w:szCs w:val="18"/>
              </w:rPr>
            </w:pPr>
            <w:r w:rsidRPr="008B5490">
              <w:rPr>
                <w:rFonts w:ascii="宋体" w:eastAsia="宋体" w:hAnsi="宋体" w:cs="宋体"/>
                <w:sz w:val="18"/>
                <w:szCs w:val="18"/>
              </w:rPr>
              <w:t>质押</w:t>
            </w:r>
          </w:p>
        </w:tc>
        <w:tc>
          <w:tcPr>
            <w:tcW w:w="1134" w:type="dxa"/>
            <w:tcBorders>
              <w:top w:val="single" w:sz="2" w:space="0" w:color="auto"/>
              <w:left w:val="single" w:sz="2" w:space="0" w:color="auto"/>
              <w:bottom w:val="single" w:sz="2" w:space="0" w:color="auto"/>
              <w:right w:val="single" w:sz="2" w:space="0" w:color="auto"/>
            </w:tcBorders>
            <w:vAlign w:val="center"/>
          </w:tcPr>
          <w:p w:rsidR="00A2208E" w:rsidRPr="008B5490" w:rsidRDefault="00A2208E">
            <w:pPr>
              <w:spacing w:line="240" w:lineRule="exact"/>
              <w:jc w:val="right"/>
              <w:rPr>
                <w:rFonts w:ascii="宋体" w:eastAsia="宋体" w:hAnsi="宋体" w:cs="宋体"/>
                <w:sz w:val="18"/>
                <w:szCs w:val="18"/>
              </w:rPr>
            </w:pPr>
            <w:r w:rsidRPr="008B5490">
              <w:rPr>
                <w:rFonts w:ascii="宋体" w:eastAsia="宋体" w:hAnsi="宋体" w:cs="宋体"/>
                <w:sz w:val="18"/>
                <w:szCs w:val="18"/>
              </w:rPr>
              <w:t>70,000,000</w:t>
            </w:r>
          </w:p>
        </w:tc>
      </w:tr>
      <w:tr w:rsidR="00A2208E" w:rsidRPr="008B5490" w:rsidTr="00052598">
        <w:trPr>
          <w:trHeight w:val="240"/>
        </w:trPr>
        <w:tc>
          <w:tcPr>
            <w:tcW w:w="1276" w:type="dxa"/>
            <w:vMerge/>
            <w:tcBorders>
              <w:left w:val="single" w:sz="2" w:space="0" w:color="auto"/>
              <w:bottom w:val="single" w:sz="2" w:space="0" w:color="auto"/>
              <w:right w:val="single" w:sz="2" w:space="0" w:color="auto"/>
            </w:tcBorders>
            <w:vAlign w:val="center"/>
          </w:tcPr>
          <w:p w:rsidR="00A2208E" w:rsidRPr="00507617" w:rsidRDefault="00A2208E">
            <w:pPr>
              <w:spacing w:line="240" w:lineRule="exact"/>
              <w:rPr>
                <w:rFonts w:ascii="宋体" w:eastAsia="宋体" w:hAnsi="宋体" w:cs="宋体"/>
                <w:sz w:val="18"/>
                <w:szCs w:val="18"/>
                <w:highlight w:val="yellow"/>
              </w:rPr>
            </w:pPr>
          </w:p>
        </w:tc>
        <w:tc>
          <w:tcPr>
            <w:tcW w:w="1134" w:type="dxa"/>
            <w:vMerge/>
            <w:tcBorders>
              <w:left w:val="single" w:sz="2" w:space="0" w:color="auto"/>
              <w:bottom w:val="single" w:sz="2" w:space="0" w:color="auto"/>
              <w:right w:val="single" w:sz="2" w:space="0" w:color="auto"/>
            </w:tcBorders>
            <w:vAlign w:val="center"/>
          </w:tcPr>
          <w:p w:rsidR="00A2208E" w:rsidRPr="00507617" w:rsidRDefault="00A2208E">
            <w:pPr>
              <w:spacing w:line="240" w:lineRule="exact"/>
              <w:rPr>
                <w:rFonts w:ascii="宋体" w:eastAsia="宋体" w:hAnsi="宋体" w:cs="宋体"/>
                <w:sz w:val="18"/>
                <w:szCs w:val="18"/>
                <w:highlight w:val="yellow"/>
              </w:rPr>
            </w:pPr>
          </w:p>
        </w:tc>
        <w:tc>
          <w:tcPr>
            <w:tcW w:w="803" w:type="dxa"/>
            <w:gridSpan w:val="2"/>
            <w:vMerge/>
            <w:tcBorders>
              <w:left w:val="single" w:sz="2" w:space="0" w:color="auto"/>
              <w:bottom w:val="single" w:sz="2" w:space="0" w:color="auto"/>
              <w:right w:val="single" w:sz="2" w:space="0" w:color="auto"/>
            </w:tcBorders>
            <w:vAlign w:val="center"/>
          </w:tcPr>
          <w:p w:rsidR="00A2208E" w:rsidRPr="00507617" w:rsidRDefault="00A2208E">
            <w:pPr>
              <w:spacing w:line="240" w:lineRule="exact"/>
              <w:jc w:val="right"/>
              <w:rPr>
                <w:rFonts w:ascii="宋体" w:eastAsia="宋体" w:hAnsi="宋体" w:cs="宋体"/>
                <w:sz w:val="18"/>
                <w:szCs w:val="18"/>
                <w:highlight w:val="yellow"/>
              </w:rPr>
            </w:pPr>
          </w:p>
        </w:tc>
        <w:tc>
          <w:tcPr>
            <w:tcW w:w="1323" w:type="dxa"/>
            <w:vMerge/>
            <w:tcBorders>
              <w:left w:val="single" w:sz="2" w:space="0" w:color="auto"/>
              <w:bottom w:val="single" w:sz="2" w:space="0" w:color="auto"/>
              <w:right w:val="single" w:sz="2" w:space="0" w:color="auto"/>
            </w:tcBorders>
            <w:vAlign w:val="center"/>
          </w:tcPr>
          <w:p w:rsidR="00A2208E" w:rsidRPr="00507617" w:rsidRDefault="00A2208E">
            <w:pPr>
              <w:spacing w:line="240" w:lineRule="exact"/>
              <w:jc w:val="right"/>
              <w:rPr>
                <w:rFonts w:ascii="宋体" w:eastAsia="宋体" w:hAnsi="宋体" w:cs="宋体"/>
                <w:sz w:val="18"/>
                <w:szCs w:val="18"/>
                <w:highlight w:val="yellow"/>
              </w:rPr>
            </w:pPr>
          </w:p>
        </w:tc>
        <w:tc>
          <w:tcPr>
            <w:tcW w:w="1134" w:type="dxa"/>
            <w:vMerge/>
            <w:tcBorders>
              <w:left w:val="single" w:sz="2" w:space="0" w:color="auto"/>
              <w:bottom w:val="single" w:sz="2" w:space="0" w:color="auto"/>
              <w:right w:val="single" w:sz="2" w:space="0" w:color="auto"/>
            </w:tcBorders>
            <w:vAlign w:val="center"/>
          </w:tcPr>
          <w:p w:rsidR="00A2208E" w:rsidRPr="00507617" w:rsidRDefault="00A2208E" w:rsidP="00052598">
            <w:pPr>
              <w:spacing w:line="240" w:lineRule="exact"/>
              <w:jc w:val="right"/>
              <w:rPr>
                <w:rFonts w:ascii="宋体" w:eastAsia="宋体" w:hAnsi="宋体" w:cs="宋体"/>
                <w:sz w:val="18"/>
                <w:szCs w:val="18"/>
                <w:highlight w:val="yellow"/>
              </w:rPr>
            </w:pPr>
          </w:p>
        </w:tc>
        <w:tc>
          <w:tcPr>
            <w:tcW w:w="851" w:type="dxa"/>
            <w:vMerge/>
            <w:tcBorders>
              <w:left w:val="single" w:sz="2" w:space="0" w:color="auto"/>
              <w:bottom w:val="single" w:sz="2" w:space="0" w:color="auto"/>
              <w:right w:val="single" w:sz="2" w:space="0" w:color="auto"/>
            </w:tcBorders>
            <w:vAlign w:val="center"/>
          </w:tcPr>
          <w:p w:rsidR="00A2208E" w:rsidRPr="00507617" w:rsidRDefault="00A2208E">
            <w:pPr>
              <w:spacing w:line="240" w:lineRule="exact"/>
              <w:jc w:val="right"/>
              <w:rPr>
                <w:rFonts w:ascii="宋体" w:eastAsia="宋体" w:hAnsi="宋体" w:cs="宋体"/>
                <w:sz w:val="18"/>
                <w:szCs w:val="18"/>
                <w:highlight w:val="yellow"/>
              </w:rPr>
            </w:pPr>
          </w:p>
        </w:tc>
        <w:tc>
          <w:tcPr>
            <w:tcW w:w="1134" w:type="dxa"/>
            <w:gridSpan w:val="2"/>
            <w:vMerge/>
            <w:tcBorders>
              <w:left w:val="single" w:sz="2" w:space="0" w:color="auto"/>
              <w:bottom w:val="single" w:sz="2" w:space="0" w:color="auto"/>
              <w:right w:val="single" w:sz="2" w:space="0" w:color="auto"/>
            </w:tcBorders>
            <w:vAlign w:val="center"/>
          </w:tcPr>
          <w:p w:rsidR="00A2208E" w:rsidRPr="00507617" w:rsidRDefault="00A2208E">
            <w:pPr>
              <w:spacing w:line="240" w:lineRule="exact"/>
              <w:jc w:val="right"/>
              <w:rPr>
                <w:rFonts w:ascii="宋体" w:eastAsia="宋体" w:hAnsi="宋体" w:cs="宋体"/>
                <w:sz w:val="18"/>
                <w:szCs w:val="18"/>
                <w:highlight w:val="yellow"/>
              </w:rPr>
            </w:pPr>
          </w:p>
        </w:tc>
        <w:tc>
          <w:tcPr>
            <w:tcW w:w="850" w:type="dxa"/>
            <w:tcBorders>
              <w:top w:val="single" w:sz="2" w:space="0" w:color="auto"/>
              <w:left w:val="single" w:sz="2" w:space="0" w:color="auto"/>
              <w:bottom w:val="single" w:sz="2" w:space="0" w:color="auto"/>
              <w:right w:val="single" w:sz="2" w:space="0" w:color="auto"/>
            </w:tcBorders>
            <w:vAlign w:val="center"/>
          </w:tcPr>
          <w:p w:rsidR="00A2208E" w:rsidRPr="00A2208E" w:rsidRDefault="00A2208E">
            <w:pPr>
              <w:spacing w:line="240" w:lineRule="exact"/>
              <w:rPr>
                <w:rFonts w:ascii="宋体" w:eastAsia="宋体" w:hAnsi="宋体" w:cs="宋体"/>
                <w:sz w:val="18"/>
                <w:szCs w:val="18"/>
              </w:rPr>
            </w:pPr>
            <w:r w:rsidRPr="00A2208E">
              <w:rPr>
                <w:rFonts w:ascii="宋体" w:eastAsia="宋体" w:hAnsi="宋体" w:cs="宋体"/>
                <w:sz w:val="18"/>
                <w:szCs w:val="18"/>
              </w:rPr>
              <w:t>冻结</w:t>
            </w:r>
          </w:p>
        </w:tc>
        <w:tc>
          <w:tcPr>
            <w:tcW w:w="1134" w:type="dxa"/>
            <w:tcBorders>
              <w:top w:val="single" w:sz="2" w:space="0" w:color="auto"/>
              <w:left w:val="single" w:sz="2" w:space="0" w:color="auto"/>
              <w:bottom w:val="single" w:sz="2" w:space="0" w:color="auto"/>
              <w:right w:val="single" w:sz="2" w:space="0" w:color="auto"/>
            </w:tcBorders>
            <w:vAlign w:val="center"/>
          </w:tcPr>
          <w:p w:rsidR="00A2208E" w:rsidRPr="00A2208E" w:rsidRDefault="00A2208E">
            <w:pPr>
              <w:spacing w:line="240" w:lineRule="exact"/>
              <w:jc w:val="right"/>
              <w:rPr>
                <w:rFonts w:ascii="宋体" w:eastAsia="宋体" w:hAnsi="宋体" w:cs="宋体"/>
                <w:sz w:val="18"/>
                <w:szCs w:val="18"/>
              </w:rPr>
            </w:pPr>
            <w:r w:rsidRPr="00A2208E">
              <w:rPr>
                <w:rFonts w:ascii="宋体" w:eastAsia="宋体" w:hAnsi="宋体" w:cs="宋体"/>
                <w:sz w:val="18"/>
                <w:szCs w:val="18"/>
              </w:rPr>
              <w:t>30,000,000</w:t>
            </w:r>
          </w:p>
        </w:tc>
      </w:tr>
      <w:tr w:rsidR="00A27D66" w:rsidRPr="008B5490" w:rsidTr="00052598">
        <w:trPr>
          <w:trHeight w:val="240"/>
        </w:trPr>
        <w:tc>
          <w:tcPr>
            <w:tcW w:w="1276"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谢慧明</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境内自然人</w:t>
            </w:r>
          </w:p>
        </w:tc>
        <w:tc>
          <w:tcPr>
            <w:tcW w:w="803"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3.55%</w:t>
            </w:r>
          </w:p>
        </w:tc>
        <w:tc>
          <w:tcPr>
            <w:tcW w:w="1323"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15,480,600</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rsidP="00052598">
            <w:pPr>
              <w:spacing w:line="240" w:lineRule="exact"/>
              <w:jc w:val="right"/>
              <w:rPr>
                <w:rFonts w:ascii="宋体" w:eastAsia="宋体" w:hAnsi="宋体" w:cs="宋体"/>
                <w:sz w:val="18"/>
                <w:szCs w:val="18"/>
              </w:rPr>
            </w:pPr>
            <w:r w:rsidRPr="008B5490">
              <w:rPr>
                <w:rFonts w:ascii="宋体" w:eastAsia="宋体" w:hAnsi="宋体" w:cs="宋体"/>
                <w:sz w:val="18"/>
                <w:szCs w:val="18"/>
              </w:rPr>
              <w:t>1,608,731</w:t>
            </w:r>
          </w:p>
        </w:tc>
        <w:tc>
          <w:tcPr>
            <w:tcW w:w="851"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15,480,600</w:t>
            </w:r>
          </w:p>
        </w:tc>
        <w:tc>
          <w:tcPr>
            <w:tcW w:w="850"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r>
      <w:tr w:rsidR="00A27D66" w:rsidRPr="008B5490" w:rsidTr="00052598">
        <w:trPr>
          <w:trHeight w:val="240"/>
        </w:trPr>
        <w:tc>
          <w:tcPr>
            <w:tcW w:w="1276"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胡成中</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境内自然人</w:t>
            </w:r>
          </w:p>
        </w:tc>
        <w:tc>
          <w:tcPr>
            <w:tcW w:w="803"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1.46%</w:t>
            </w:r>
          </w:p>
        </w:tc>
        <w:tc>
          <w:tcPr>
            <w:tcW w:w="1323"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6,350,000</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rsidP="00052598">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c>
          <w:tcPr>
            <w:tcW w:w="851"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6,350,000</w:t>
            </w:r>
          </w:p>
        </w:tc>
        <w:tc>
          <w:tcPr>
            <w:tcW w:w="850"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r>
      <w:tr w:rsidR="00A27D66" w:rsidRPr="008B5490" w:rsidTr="00052598">
        <w:trPr>
          <w:trHeight w:val="240"/>
        </w:trPr>
        <w:tc>
          <w:tcPr>
            <w:tcW w:w="1276"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泰康人寿保险有限责任公司－分红－团体分红-019L-FH001深</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其他</w:t>
            </w:r>
          </w:p>
        </w:tc>
        <w:tc>
          <w:tcPr>
            <w:tcW w:w="803"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0.46%</w:t>
            </w:r>
          </w:p>
        </w:tc>
        <w:tc>
          <w:tcPr>
            <w:tcW w:w="1323"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1,993,800</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rsidP="00052598">
            <w:pPr>
              <w:spacing w:line="240" w:lineRule="exact"/>
              <w:jc w:val="right"/>
              <w:rPr>
                <w:rFonts w:ascii="宋体" w:eastAsia="宋体" w:hAnsi="宋体" w:cs="宋体"/>
                <w:sz w:val="18"/>
                <w:szCs w:val="18"/>
              </w:rPr>
            </w:pPr>
            <w:r w:rsidRPr="008B5490">
              <w:rPr>
                <w:rFonts w:ascii="宋体" w:eastAsia="宋体" w:hAnsi="宋体" w:cs="宋体"/>
                <w:sz w:val="18"/>
                <w:szCs w:val="18"/>
              </w:rPr>
              <w:t>1,993,800</w:t>
            </w:r>
          </w:p>
        </w:tc>
        <w:tc>
          <w:tcPr>
            <w:tcW w:w="851"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1,993,800</w:t>
            </w:r>
          </w:p>
        </w:tc>
        <w:tc>
          <w:tcPr>
            <w:tcW w:w="850"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r>
      <w:tr w:rsidR="00A27D66" w:rsidRPr="008B5490" w:rsidTr="00052598">
        <w:trPr>
          <w:trHeight w:val="240"/>
        </w:trPr>
        <w:tc>
          <w:tcPr>
            <w:tcW w:w="1276"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冯骏</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境内自然人</w:t>
            </w:r>
          </w:p>
        </w:tc>
        <w:tc>
          <w:tcPr>
            <w:tcW w:w="803"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0.43%</w:t>
            </w:r>
          </w:p>
        </w:tc>
        <w:tc>
          <w:tcPr>
            <w:tcW w:w="1323"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1,889,696</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rsidP="00052598">
            <w:pPr>
              <w:spacing w:line="240" w:lineRule="exact"/>
              <w:jc w:val="right"/>
              <w:rPr>
                <w:rFonts w:ascii="宋体" w:eastAsia="宋体" w:hAnsi="宋体" w:cs="宋体"/>
                <w:sz w:val="18"/>
                <w:szCs w:val="18"/>
              </w:rPr>
            </w:pPr>
            <w:r w:rsidRPr="008B5490">
              <w:rPr>
                <w:rFonts w:ascii="宋体" w:eastAsia="宋体" w:hAnsi="宋体" w:cs="宋体"/>
                <w:sz w:val="18"/>
                <w:szCs w:val="18"/>
              </w:rPr>
              <w:t>-8,458,423</w:t>
            </w:r>
          </w:p>
        </w:tc>
        <w:tc>
          <w:tcPr>
            <w:tcW w:w="851"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1,889,696</w:t>
            </w:r>
          </w:p>
        </w:tc>
        <w:tc>
          <w:tcPr>
            <w:tcW w:w="850"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r>
      <w:tr w:rsidR="00A27D66" w:rsidRPr="008B5490" w:rsidTr="00052598">
        <w:trPr>
          <w:trHeight w:val="240"/>
        </w:trPr>
        <w:tc>
          <w:tcPr>
            <w:tcW w:w="1276"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陈旭东</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境内自然人</w:t>
            </w:r>
          </w:p>
        </w:tc>
        <w:tc>
          <w:tcPr>
            <w:tcW w:w="803"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0.41%</w:t>
            </w:r>
          </w:p>
        </w:tc>
        <w:tc>
          <w:tcPr>
            <w:tcW w:w="1323"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1,800,000</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rsidP="00052598">
            <w:pPr>
              <w:spacing w:line="240" w:lineRule="exact"/>
              <w:jc w:val="right"/>
              <w:rPr>
                <w:rFonts w:ascii="宋体" w:eastAsia="宋体" w:hAnsi="宋体" w:cs="宋体"/>
                <w:sz w:val="18"/>
                <w:szCs w:val="18"/>
              </w:rPr>
            </w:pPr>
            <w:r w:rsidRPr="008B5490">
              <w:rPr>
                <w:rFonts w:ascii="宋体" w:eastAsia="宋体" w:hAnsi="宋体" w:cs="宋体"/>
                <w:sz w:val="18"/>
                <w:szCs w:val="18"/>
              </w:rPr>
              <w:t>100,000</w:t>
            </w:r>
          </w:p>
        </w:tc>
        <w:tc>
          <w:tcPr>
            <w:tcW w:w="851"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1,800,000</w:t>
            </w:r>
          </w:p>
        </w:tc>
        <w:tc>
          <w:tcPr>
            <w:tcW w:w="850"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r>
      <w:tr w:rsidR="00A27D66" w:rsidRPr="008B5490" w:rsidTr="00052598">
        <w:trPr>
          <w:trHeight w:val="240"/>
        </w:trPr>
        <w:tc>
          <w:tcPr>
            <w:tcW w:w="1276"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proofErr w:type="gramStart"/>
            <w:r w:rsidRPr="008B5490">
              <w:rPr>
                <w:rFonts w:ascii="宋体" w:eastAsia="宋体" w:hAnsi="宋体" w:cs="宋体"/>
                <w:sz w:val="18"/>
                <w:szCs w:val="18"/>
              </w:rPr>
              <w:t>陶昌梅</w:t>
            </w:r>
            <w:proofErr w:type="gramEnd"/>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境内自然人</w:t>
            </w:r>
          </w:p>
        </w:tc>
        <w:tc>
          <w:tcPr>
            <w:tcW w:w="803"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0.34%</w:t>
            </w:r>
          </w:p>
        </w:tc>
        <w:tc>
          <w:tcPr>
            <w:tcW w:w="1323"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1,500,000</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rsidP="00052598">
            <w:pPr>
              <w:spacing w:line="240" w:lineRule="exact"/>
              <w:jc w:val="right"/>
              <w:rPr>
                <w:rFonts w:ascii="宋体" w:eastAsia="宋体" w:hAnsi="宋体" w:cs="宋体"/>
                <w:sz w:val="18"/>
                <w:szCs w:val="18"/>
              </w:rPr>
            </w:pPr>
            <w:r w:rsidRPr="008B5490">
              <w:rPr>
                <w:rFonts w:ascii="宋体" w:eastAsia="宋体" w:hAnsi="宋体" w:cs="宋体"/>
                <w:sz w:val="18"/>
                <w:szCs w:val="18"/>
              </w:rPr>
              <w:t>-793,800</w:t>
            </w:r>
          </w:p>
        </w:tc>
        <w:tc>
          <w:tcPr>
            <w:tcW w:w="851"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1,500,000</w:t>
            </w:r>
          </w:p>
        </w:tc>
        <w:tc>
          <w:tcPr>
            <w:tcW w:w="850"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r>
      <w:tr w:rsidR="00A27D66" w:rsidRPr="008B5490" w:rsidTr="00052598">
        <w:trPr>
          <w:trHeight w:val="240"/>
        </w:trPr>
        <w:tc>
          <w:tcPr>
            <w:tcW w:w="1276"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周丽</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境内自然人</w:t>
            </w:r>
          </w:p>
        </w:tc>
        <w:tc>
          <w:tcPr>
            <w:tcW w:w="803"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0.34%</w:t>
            </w:r>
          </w:p>
        </w:tc>
        <w:tc>
          <w:tcPr>
            <w:tcW w:w="1323"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1,500,000</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rsidP="00052598">
            <w:pPr>
              <w:spacing w:line="240" w:lineRule="exact"/>
              <w:jc w:val="right"/>
              <w:rPr>
                <w:rFonts w:ascii="宋体" w:eastAsia="宋体" w:hAnsi="宋体" w:cs="宋体"/>
                <w:sz w:val="18"/>
                <w:szCs w:val="18"/>
              </w:rPr>
            </w:pPr>
            <w:r w:rsidRPr="008B5490">
              <w:rPr>
                <w:rFonts w:ascii="宋体" w:eastAsia="宋体" w:hAnsi="宋体" w:cs="宋体"/>
                <w:sz w:val="18"/>
                <w:szCs w:val="18"/>
              </w:rPr>
              <w:t>-423,000</w:t>
            </w:r>
          </w:p>
        </w:tc>
        <w:tc>
          <w:tcPr>
            <w:tcW w:w="851"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1,500,000</w:t>
            </w:r>
          </w:p>
        </w:tc>
        <w:tc>
          <w:tcPr>
            <w:tcW w:w="850"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r>
      <w:tr w:rsidR="00A27D66" w:rsidRPr="008B5490" w:rsidTr="00052598">
        <w:trPr>
          <w:trHeight w:val="240"/>
        </w:trPr>
        <w:tc>
          <w:tcPr>
            <w:tcW w:w="1276"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北京艾莱宏达商贸有限公司</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境内非国有法人</w:t>
            </w:r>
          </w:p>
        </w:tc>
        <w:tc>
          <w:tcPr>
            <w:tcW w:w="803"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0.29%</w:t>
            </w:r>
          </w:p>
        </w:tc>
        <w:tc>
          <w:tcPr>
            <w:tcW w:w="1323"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1,250,000</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rsidP="00052598">
            <w:pPr>
              <w:spacing w:line="240" w:lineRule="exact"/>
              <w:jc w:val="right"/>
              <w:rPr>
                <w:rFonts w:ascii="宋体" w:eastAsia="宋体" w:hAnsi="宋体" w:cs="宋体"/>
                <w:sz w:val="18"/>
                <w:szCs w:val="18"/>
              </w:rPr>
            </w:pPr>
            <w:r w:rsidRPr="008B5490">
              <w:rPr>
                <w:rFonts w:ascii="宋体" w:eastAsia="宋体" w:hAnsi="宋体" w:cs="宋体"/>
                <w:sz w:val="18"/>
                <w:szCs w:val="18"/>
              </w:rPr>
              <w:t>818,700</w:t>
            </w:r>
          </w:p>
        </w:tc>
        <w:tc>
          <w:tcPr>
            <w:tcW w:w="851"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1,250,000</w:t>
            </w:r>
          </w:p>
        </w:tc>
        <w:tc>
          <w:tcPr>
            <w:tcW w:w="850"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r>
      <w:tr w:rsidR="00A27D66" w:rsidRPr="008B5490" w:rsidTr="00052598">
        <w:trPr>
          <w:trHeight w:val="240"/>
        </w:trPr>
        <w:tc>
          <w:tcPr>
            <w:tcW w:w="1276"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proofErr w:type="gramStart"/>
            <w:r w:rsidRPr="008B5490">
              <w:rPr>
                <w:rFonts w:ascii="宋体" w:eastAsia="宋体" w:hAnsi="宋体" w:cs="宋体"/>
                <w:sz w:val="18"/>
                <w:szCs w:val="18"/>
              </w:rPr>
              <w:t>虞建华</w:t>
            </w:r>
            <w:proofErr w:type="gramEnd"/>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境内自然人</w:t>
            </w:r>
          </w:p>
        </w:tc>
        <w:tc>
          <w:tcPr>
            <w:tcW w:w="803"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0.28%</w:t>
            </w:r>
          </w:p>
        </w:tc>
        <w:tc>
          <w:tcPr>
            <w:tcW w:w="1323"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1,216,496</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rsidP="00052598">
            <w:pPr>
              <w:spacing w:line="240" w:lineRule="exact"/>
              <w:jc w:val="right"/>
              <w:rPr>
                <w:rFonts w:ascii="宋体" w:eastAsia="宋体" w:hAnsi="宋体" w:cs="宋体"/>
                <w:sz w:val="18"/>
                <w:szCs w:val="18"/>
              </w:rPr>
            </w:pPr>
            <w:r w:rsidRPr="008B5490">
              <w:rPr>
                <w:rFonts w:ascii="宋体" w:eastAsia="宋体" w:hAnsi="宋体" w:cs="宋体"/>
                <w:sz w:val="18"/>
                <w:szCs w:val="18"/>
              </w:rPr>
              <w:t>-356,904</w:t>
            </w:r>
          </w:p>
        </w:tc>
        <w:tc>
          <w:tcPr>
            <w:tcW w:w="851"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1,216,496</w:t>
            </w:r>
          </w:p>
        </w:tc>
        <w:tc>
          <w:tcPr>
            <w:tcW w:w="850"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0</w:t>
            </w:r>
          </w:p>
        </w:tc>
      </w:tr>
      <w:tr w:rsidR="00A27D66" w:rsidRPr="008B5490" w:rsidTr="008B5490">
        <w:trPr>
          <w:trHeight w:val="240"/>
        </w:trPr>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rPr>
                <w:rFonts w:ascii="宋体" w:eastAsia="宋体" w:hAnsi="宋体" w:cs="宋体"/>
                <w:sz w:val="18"/>
                <w:szCs w:val="18"/>
              </w:rPr>
            </w:pPr>
            <w:r w:rsidRPr="008B5490">
              <w:rPr>
                <w:rFonts w:ascii="宋体" w:eastAsia="宋体" w:hAnsi="宋体" w:cs="宋体"/>
                <w:sz w:val="18"/>
                <w:szCs w:val="18"/>
              </w:rPr>
              <w:t>战略投资者或一般法人因配售新股成为前10名股东的情况（如有）（参见注3）</w:t>
            </w:r>
          </w:p>
        </w:tc>
        <w:tc>
          <w:tcPr>
            <w:tcW w:w="7229" w:type="dxa"/>
            <w:gridSpan w:val="9"/>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公司无作为战略投资者或一般法人参与配售新股成为前10名的股东。</w:t>
            </w:r>
          </w:p>
        </w:tc>
      </w:tr>
      <w:tr w:rsidR="00A27D66" w:rsidRPr="008B5490" w:rsidTr="008B5490">
        <w:trPr>
          <w:trHeight w:val="240"/>
        </w:trPr>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rPr>
                <w:rFonts w:ascii="宋体" w:eastAsia="宋体" w:hAnsi="宋体" w:cs="宋体"/>
                <w:sz w:val="18"/>
                <w:szCs w:val="18"/>
              </w:rPr>
            </w:pPr>
            <w:r w:rsidRPr="008B5490">
              <w:rPr>
                <w:rFonts w:ascii="宋体" w:eastAsia="宋体" w:hAnsi="宋体" w:cs="宋体"/>
                <w:sz w:val="18"/>
                <w:szCs w:val="18"/>
              </w:rPr>
              <w:t>上述股东关联关系或一致行动的说明</w:t>
            </w:r>
          </w:p>
        </w:tc>
        <w:tc>
          <w:tcPr>
            <w:tcW w:w="7229" w:type="dxa"/>
            <w:gridSpan w:val="9"/>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上述股东中，胡成中为公司控股股东德力西集团有限公司实际控制人，与德力西集团有限公司</w:t>
            </w:r>
            <w:proofErr w:type="gramStart"/>
            <w:r w:rsidRPr="008B5490">
              <w:rPr>
                <w:rFonts w:ascii="宋体" w:eastAsia="宋体" w:hAnsi="宋体" w:cs="宋体"/>
                <w:sz w:val="18"/>
                <w:szCs w:val="18"/>
              </w:rPr>
              <w:t>为一致</w:t>
            </w:r>
            <w:proofErr w:type="gramEnd"/>
            <w:r w:rsidRPr="008B5490">
              <w:rPr>
                <w:rFonts w:ascii="宋体" w:eastAsia="宋体" w:hAnsi="宋体" w:cs="宋体"/>
                <w:sz w:val="18"/>
                <w:szCs w:val="18"/>
              </w:rPr>
              <w:t>行动人；除此之外，公司未知其他股东之间是否存在关联关系，也未知其他股东是否属于《上市公司收购管理办法》中规定的一致行动人。</w:t>
            </w:r>
          </w:p>
        </w:tc>
      </w:tr>
      <w:tr w:rsidR="00A27D66" w:rsidRPr="008B5490" w:rsidTr="008B5490">
        <w:trPr>
          <w:trHeight w:val="240"/>
        </w:trPr>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rPr>
                <w:rFonts w:ascii="宋体" w:eastAsia="宋体" w:hAnsi="宋体" w:cs="宋体"/>
                <w:sz w:val="18"/>
                <w:szCs w:val="18"/>
              </w:rPr>
            </w:pPr>
            <w:r w:rsidRPr="008B5490">
              <w:rPr>
                <w:rFonts w:ascii="宋体" w:eastAsia="宋体" w:hAnsi="宋体" w:cs="宋体"/>
                <w:sz w:val="18"/>
                <w:szCs w:val="18"/>
              </w:rPr>
              <w:t>上述股东涉及委托/受托表决权、放弃表决权情况的说明</w:t>
            </w:r>
          </w:p>
        </w:tc>
        <w:tc>
          <w:tcPr>
            <w:tcW w:w="7229" w:type="dxa"/>
            <w:gridSpan w:val="9"/>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上述股东不涉及委托/</w:t>
            </w:r>
            <w:r w:rsidR="00744A3C" w:rsidRPr="008B5490">
              <w:rPr>
                <w:rFonts w:ascii="宋体" w:eastAsia="宋体" w:hAnsi="宋体" w:cs="宋体"/>
                <w:sz w:val="18"/>
                <w:szCs w:val="18"/>
              </w:rPr>
              <w:t>受</w:t>
            </w:r>
            <w:r w:rsidRPr="008B5490">
              <w:rPr>
                <w:rFonts w:ascii="宋体" w:eastAsia="宋体" w:hAnsi="宋体" w:cs="宋体"/>
                <w:sz w:val="18"/>
                <w:szCs w:val="18"/>
              </w:rPr>
              <w:t>托表决权、放弃表决权的情况。</w:t>
            </w:r>
          </w:p>
        </w:tc>
      </w:tr>
      <w:tr w:rsidR="00A27D66" w:rsidRPr="008B5490" w:rsidTr="008B5490">
        <w:trPr>
          <w:trHeight w:val="240"/>
        </w:trPr>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rPr>
                <w:rFonts w:ascii="宋体" w:eastAsia="宋体" w:hAnsi="宋体" w:cs="宋体"/>
                <w:sz w:val="18"/>
                <w:szCs w:val="18"/>
              </w:rPr>
            </w:pPr>
            <w:r w:rsidRPr="008B5490">
              <w:rPr>
                <w:rFonts w:ascii="宋体" w:eastAsia="宋体" w:hAnsi="宋体" w:cs="宋体"/>
                <w:sz w:val="18"/>
                <w:szCs w:val="18"/>
              </w:rPr>
              <w:t>前10名股东中存在回购专户的特别说明（如有）（参见注10）</w:t>
            </w:r>
          </w:p>
        </w:tc>
        <w:tc>
          <w:tcPr>
            <w:tcW w:w="7229" w:type="dxa"/>
            <w:gridSpan w:val="9"/>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广东甘化科工股份有限公司回购专用证券账户为公司回购股</w:t>
            </w:r>
            <w:proofErr w:type="gramStart"/>
            <w:r w:rsidRPr="008B5490">
              <w:rPr>
                <w:rFonts w:ascii="宋体" w:eastAsia="宋体" w:hAnsi="宋体" w:cs="宋体"/>
                <w:sz w:val="18"/>
                <w:szCs w:val="18"/>
              </w:rPr>
              <w:t>份设立</w:t>
            </w:r>
            <w:proofErr w:type="gramEnd"/>
            <w:r w:rsidRPr="008B5490">
              <w:rPr>
                <w:rFonts w:ascii="宋体" w:eastAsia="宋体" w:hAnsi="宋体" w:cs="宋体"/>
                <w:sz w:val="18"/>
                <w:szCs w:val="18"/>
              </w:rPr>
              <w:t>的专用证券账户，持有公司股票4,370,000股，在前10名股东中排名第4，该回购专用证券账户中的股份不享有股东大会表决权、利润分配、公积金转增股本、配股、质押等权利。</w:t>
            </w:r>
          </w:p>
        </w:tc>
      </w:tr>
      <w:tr w:rsidR="00A27D66" w:rsidRPr="008B549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前10名无限</w:t>
            </w:r>
            <w:proofErr w:type="gramStart"/>
            <w:r w:rsidRPr="008B5490">
              <w:rPr>
                <w:rFonts w:ascii="宋体" w:eastAsia="宋体" w:hAnsi="宋体" w:cs="宋体"/>
                <w:sz w:val="18"/>
                <w:szCs w:val="18"/>
              </w:rPr>
              <w:t>售条件</w:t>
            </w:r>
            <w:proofErr w:type="gramEnd"/>
            <w:r w:rsidRPr="008B5490">
              <w:rPr>
                <w:rFonts w:ascii="宋体" w:eastAsia="宋体" w:hAnsi="宋体" w:cs="宋体"/>
                <w:sz w:val="18"/>
                <w:szCs w:val="18"/>
              </w:rPr>
              <w:t>股东持股情况（不含通过转融通出借股份、高管锁定股）</w:t>
            </w:r>
          </w:p>
        </w:tc>
      </w:tr>
      <w:tr w:rsidR="00A27D66" w:rsidRPr="008B5490" w:rsidTr="008B5490">
        <w:trPr>
          <w:trHeight w:val="240"/>
        </w:trPr>
        <w:tc>
          <w:tcPr>
            <w:tcW w:w="2694"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股东名称</w:t>
            </w:r>
          </w:p>
        </w:tc>
        <w:tc>
          <w:tcPr>
            <w:tcW w:w="4394"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报告期末持有无限</w:t>
            </w:r>
            <w:proofErr w:type="gramStart"/>
            <w:r w:rsidRPr="008B5490">
              <w:rPr>
                <w:rFonts w:ascii="宋体" w:eastAsia="宋体" w:hAnsi="宋体" w:cs="宋体"/>
                <w:sz w:val="18"/>
                <w:szCs w:val="18"/>
              </w:rPr>
              <w:t>售条件</w:t>
            </w:r>
            <w:proofErr w:type="gramEnd"/>
            <w:r w:rsidRPr="008B5490">
              <w:rPr>
                <w:rFonts w:ascii="宋体" w:eastAsia="宋体" w:hAnsi="宋体" w:cs="宋体"/>
                <w:sz w:val="18"/>
                <w:szCs w:val="18"/>
              </w:rPr>
              <w:t>股份数量</w:t>
            </w:r>
          </w:p>
        </w:tc>
        <w:tc>
          <w:tcPr>
            <w:tcW w:w="255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股份种类</w:t>
            </w:r>
          </w:p>
        </w:tc>
      </w:tr>
      <w:tr w:rsidR="00A27D66" w:rsidRPr="008B5490" w:rsidTr="008B5490">
        <w:trPr>
          <w:trHeight w:val="240"/>
        </w:trPr>
        <w:tc>
          <w:tcPr>
            <w:tcW w:w="2694"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7D66">
            <w:pPr>
              <w:rPr>
                <w:rFonts w:ascii="宋体" w:eastAsia="宋体" w:hAnsi="宋体"/>
                <w:sz w:val="18"/>
                <w:szCs w:val="18"/>
              </w:rPr>
            </w:pPr>
          </w:p>
        </w:tc>
        <w:tc>
          <w:tcPr>
            <w:tcW w:w="4394"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7D66">
            <w:pPr>
              <w:rPr>
                <w:rFonts w:ascii="宋体" w:eastAsia="宋体" w:hAnsi="宋体"/>
                <w:sz w:val="18"/>
                <w:szCs w:val="18"/>
              </w:rPr>
            </w:pPr>
          </w:p>
        </w:tc>
        <w:tc>
          <w:tcPr>
            <w:tcW w:w="141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股份种类</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jc w:val="center"/>
              <w:rPr>
                <w:rFonts w:ascii="宋体" w:eastAsia="宋体" w:hAnsi="宋体" w:cs="宋体"/>
                <w:sz w:val="18"/>
                <w:szCs w:val="18"/>
              </w:rPr>
            </w:pPr>
            <w:r w:rsidRPr="008B5490">
              <w:rPr>
                <w:rFonts w:ascii="宋体" w:eastAsia="宋体" w:hAnsi="宋体" w:cs="宋体"/>
                <w:sz w:val="18"/>
                <w:szCs w:val="18"/>
              </w:rPr>
              <w:t>数量</w:t>
            </w:r>
          </w:p>
        </w:tc>
      </w:tr>
      <w:tr w:rsidR="00A27D66" w:rsidRPr="008B5490" w:rsidTr="008B5490">
        <w:trPr>
          <w:trHeight w:val="240"/>
        </w:trPr>
        <w:tc>
          <w:tcPr>
            <w:tcW w:w="2694" w:type="dxa"/>
            <w:gridSpan w:val="3"/>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德力西集团有限公司</w:t>
            </w:r>
          </w:p>
        </w:tc>
        <w:tc>
          <w:tcPr>
            <w:tcW w:w="4394" w:type="dxa"/>
            <w:gridSpan w:val="5"/>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186,087,400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186,087,400</w:t>
            </w:r>
          </w:p>
        </w:tc>
      </w:tr>
      <w:tr w:rsidR="00A27D66" w:rsidRPr="008B5490" w:rsidTr="008B5490">
        <w:trPr>
          <w:trHeight w:val="240"/>
        </w:trPr>
        <w:tc>
          <w:tcPr>
            <w:tcW w:w="2694" w:type="dxa"/>
            <w:gridSpan w:val="3"/>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谢慧明</w:t>
            </w:r>
          </w:p>
        </w:tc>
        <w:tc>
          <w:tcPr>
            <w:tcW w:w="4394" w:type="dxa"/>
            <w:gridSpan w:val="5"/>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15,480,600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15,480,600</w:t>
            </w:r>
          </w:p>
        </w:tc>
      </w:tr>
      <w:tr w:rsidR="00A27D66" w:rsidRPr="008B5490" w:rsidTr="008B5490">
        <w:trPr>
          <w:trHeight w:val="240"/>
        </w:trPr>
        <w:tc>
          <w:tcPr>
            <w:tcW w:w="2694" w:type="dxa"/>
            <w:gridSpan w:val="3"/>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胡成中</w:t>
            </w:r>
          </w:p>
        </w:tc>
        <w:tc>
          <w:tcPr>
            <w:tcW w:w="4394" w:type="dxa"/>
            <w:gridSpan w:val="5"/>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6,350,000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6,350,000</w:t>
            </w:r>
          </w:p>
        </w:tc>
      </w:tr>
      <w:tr w:rsidR="00A27D66" w:rsidRPr="008B5490" w:rsidTr="008B5490">
        <w:trPr>
          <w:trHeight w:val="240"/>
        </w:trPr>
        <w:tc>
          <w:tcPr>
            <w:tcW w:w="2694" w:type="dxa"/>
            <w:gridSpan w:val="3"/>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泰康人寿保险有限责任公司－分红－团体分红-019L-FH001深</w:t>
            </w:r>
          </w:p>
        </w:tc>
        <w:tc>
          <w:tcPr>
            <w:tcW w:w="4394" w:type="dxa"/>
            <w:gridSpan w:val="5"/>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1,993,800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1,993,800</w:t>
            </w:r>
          </w:p>
        </w:tc>
      </w:tr>
      <w:tr w:rsidR="00A27D66" w:rsidRPr="008B5490" w:rsidTr="008B5490">
        <w:trPr>
          <w:trHeight w:val="240"/>
        </w:trPr>
        <w:tc>
          <w:tcPr>
            <w:tcW w:w="2694" w:type="dxa"/>
            <w:gridSpan w:val="3"/>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冯骏</w:t>
            </w:r>
          </w:p>
        </w:tc>
        <w:tc>
          <w:tcPr>
            <w:tcW w:w="4394" w:type="dxa"/>
            <w:gridSpan w:val="5"/>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1,889,696</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1,889,696</w:t>
            </w:r>
          </w:p>
        </w:tc>
      </w:tr>
      <w:tr w:rsidR="00A27D66" w:rsidRPr="008B5490" w:rsidTr="008B5490">
        <w:trPr>
          <w:trHeight w:val="240"/>
        </w:trPr>
        <w:tc>
          <w:tcPr>
            <w:tcW w:w="2694" w:type="dxa"/>
            <w:gridSpan w:val="3"/>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陈旭东</w:t>
            </w:r>
          </w:p>
        </w:tc>
        <w:tc>
          <w:tcPr>
            <w:tcW w:w="4394" w:type="dxa"/>
            <w:gridSpan w:val="5"/>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1,800,000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1,800,000</w:t>
            </w:r>
          </w:p>
        </w:tc>
      </w:tr>
      <w:tr w:rsidR="00A27D66" w:rsidRPr="008B5490" w:rsidTr="008B5490">
        <w:trPr>
          <w:trHeight w:val="240"/>
        </w:trPr>
        <w:tc>
          <w:tcPr>
            <w:tcW w:w="2694" w:type="dxa"/>
            <w:gridSpan w:val="3"/>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proofErr w:type="gramStart"/>
            <w:r w:rsidRPr="008B5490">
              <w:rPr>
                <w:rFonts w:ascii="宋体" w:eastAsia="宋体" w:hAnsi="宋体" w:cs="宋体"/>
                <w:sz w:val="18"/>
                <w:szCs w:val="18"/>
              </w:rPr>
              <w:t>陶昌梅</w:t>
            </w:r>
            <w:proofErr w:type="gramEnd"/>
          </w:p>
        </w:tc>
        <w:tc>
          <w:tcPr>
            <w:tcW w:w="4394" w:type="dxa"/>
            <w:gridSpan w:val="5"/>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1,500,000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1,500,000</w:t>
            </w:r>
          </w:p>
        </w:tc>
      </w:tr>
      <w:tr w:rsidR="00A27D66" w:rsidRPr="008B5490" w:rsidTr="008B5490">
        <w:trPr>
          <w:trHeight w:val="240"/>
        </w:trPr>
        <w:tc>
          <w:tcPr>
            <w:tcW w:w="2694" w:type="dxa"/>
            <w:gridSpan w:val="3"/>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周丽</w:t>
            </w:r>
          </w:p>
        </w:tc>
        <w:tc>
          <w:tcPr>
            <w:tcW w:w="4394" w:type="dxa"/>
            <w:gridSpan w:val="5"/>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1,500,000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1,500,000</w:t>
            </w:r>
          </w:p>
        </w:tc>
      </w:tr>
      <w:tr w:rsidR="00A27D66" w:rsidRPr="008B5490" w:rsidTr="008B5490">
        <w:trPr>
          <w:trHeight w:val="240"/>
        </w:trPr>
        <w:tc>
          <w:tcPr>
            <w:tcW w:w="2694" w:type="dxa"/>
            <w:gridSpan w:val="3"/>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北京艾莱宏达商贸有限公司</w:t>
            </w:r>
          </w:p>
        </w:tc>
        <w:tc>
          <w:tcPr>
            <w:tcW w:w="4394" w:type="dxa"/>
            <w:gridSpan w:val="5"/>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1,250,000</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1,250,000</w:t>
            </w:r>
          </w:p>
        </w:tc>
      </w:tr>
      <w:tr w:rsidR="00A27D66" w:rsidRPr="008B5490" w:rsidTr="008B5490">
        <w:trPr>
          <w:trHeight w:val="240"/>
        </w:trPr>
        <w:tc>
          <w:tcPr>
            <w:tcW w:w="2694" w:type="dxa"/>
            <w:gridSpan w:val="3"/>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proofErr w:type="gramStart"/>
            <w:r w:rsidRPr="008B5490">
              <w:rPr>
                <w:rFonts w:ascii="宋体" w:eastAsia="宋体" w:hAnsi="宋体" w:cs="宋体"/>
                <w:sz w:val="18"/>
                <w:szCs w:val="18"/>
              </w:rPr>
              <w:t>虞建华</w:t>
            </w:r>
            <w:proofErr w:type="gramEnd"/>
          </w:p>
        </w:tc>
        <w:tc>
          <w:tcPr>
            <w:tcW w:w="4394" w:type="dxa"/>
            <w:gridSpan w:val="5"/>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1,216,496</w:t>
            </w:r>
          </w:p>
        </w:tc>
        <w:tc>
          <w:tcPr>
            <w:tcW w:w="1417" w:type="dxa"/>
            <w:gridSpan w:val="2"/>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人民币普通股</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jc w:val="right"/>
              <w:rPr>
                <w:rFonts w:ascii="宋体" w:eastAsia="宋体" w:hAnsi="宋体" w:cs="宋体"/>
                <w:sz w:val="18"/>
                <w:szCs w:val="18"/>
              </w:rPr>
            </w:pPr>
            <w:r w:rsidRPr="008B5490">
              <w:rPr>
                <w:rFonts w:ascii="宋体" w:eastAsia="宋体" w:hAnsi="宋体" w:cs="宋体"/>
                <w:sz w:val="18"/>
                <w:szCs w:val="18"/>
              </w:rPr>
              <w:t>1,216,496</w:t>
            </w:r>
          </w:p>
        </w:tc>
      </w:tr>
      <w:tr w:rsidR="00A27D66" w:rsidRPr="008B5490" w:rsidTr="008B5490">
        <w:trPr>
          <w:trHeight w:val="240"/>
        </w:trPr>
        <w:tc>
          <w:tcPr>
            <w:tcW w:w="269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rPr>
                <w:rFonts w:ascii="宋体" w:eastAsia="宋体" w:hAnsi="宋体" w:cs="宋体"/>
                <w:sz w:val="18"/>
                <w:szCs w:val="18"/>
              </w:rPr>
            </w:pPr>
            <w:r w:rsidRPr="008B5490">
              <w:rPr>
                <w:rFonts w:ascii="宋体" w:eastAsia="宋体" w:hAnsi="宋体" w:cs="宋体"/>
                <w:sz w:val="18"/>
                <w:szCs w:val="18"/>
              </w:rPr>
              <w:t>前10名无限</w:t>
            </w:r>
            <w:proofErr w:type="gramStart"/>
            <w:r w:rsidRPr="008B5490">
              <w:rPr>
                <w:rFonts w:ascii="宋体" w:eastAsia="宋体" w:hAnsi="宋体" w:cs="宋体"/>
                <w:sz w:val="18"/>
                <w:szCs w:val="18"/>
              </w:rPr>
              <w:t>售流通</w:t>
            </w:r>
            <w:proofErr w:type="gramEnd"/>
            <w:r w:rsidRPr="008B5490">
              <w:rPr>
                <w:rFonts w:ascii="宋体" w:eastAsia="宋体" w:hAnsi="宋体" w:cs="宋体"/>
                <w:sz w:val="18"/>
                <w:szCs w:val="18"/>
              </w:rPr>
              <w:t>股股东之间，以及前10名无限</w:t>
            </w:r>
            <w:proofErr w:type="gramStart"/>
            <w:r w:rsidRPr="008B5490">
              <w:rPr>
                <w:rFonts w:ascii="宋体" w:eastAsia="宋体" w:hAnsi="宋体" w:cs="宋体"/>
                <w:sz w:val="18"/>
                <w:szCs w:val="18"/>
              </w:rPr>
              <w:t>售流通</w:t>
            </w:r>
            <w:proofErr w:type="gramEnd"/>
            <w:r w:rsidRPr="008B5490">
              <w:rPr>
                <w:rFonts w:ascii="宋体" w:eastAsia="宋体" w:hAnsi="宋体" w:cs="宋体"/>
                <w:sz w:val="18"/>
                <w:szCs w:val="18"/>
              </w:rPr>
              <w:t>股股东和前10名股东之间关联关系或一致行动的说明</w:t>
            </w:r>
          </w:p>
        </w:tc>
        <w:tc>
          <w:tcPr>
            <w:tcW w:w="6945" w:type="dxa"/>
            <w:gridSpan w:val="8"/>
            <w:tcBorders>
              <w:top w:val="single" w:sz="2" w:space="0" w:color="auto"/>
              <w:left w:val="single" w:sz="2" w:space="0" w:color="auto"/>
              <w:bottom w:val="single" w:sz="2" w:space="0" w:color="auto"/>
              <w:right w:val="single" w:sz="2" w:space="0" w:color="auto"/>
            </w:tcBorders>
            <w:vAlign w:val="center"/>
          </w:tcPr>
          <w:p w:rsidR="00A27D66" w:rsidRPr="008B5490" w:rsidRDefault="00A2119D">
            <w:pPr>
              <w:spacing w:line="240" w:lineRule="exact"/>
              <w:rPr>
                <w:rFonts w:ascii="宋体" w:eastAsia="宋体" w:hAnsi="宋体" w:cs="宋体"/>
                <w:sz w:val="18"/>
                <w:szCs w:val="18"/>
              </w:rPr>
            </w:pPr>
            <w:r w:rsidRPr="008B5490">
              <w:rPr>
                <w:rFonts w:ascii="宋体" w:eastAsia="宋体" w:hAnsi="宋体" w:cs="宋体"/>
                <w:sz w:val="18"/>
                <w:szCs w:val="18"/>
              </w:rPr>
              <w:t>上述股东中，胡成中为公司控股股东德力西集团有限公司实际控制人，与德力西集团有限公司</w:t>
            </w:r>
            <w:proofErr w:type="gramStart"/>
            <w:r w:rsidRPr="008B5490">
              <w:rPr>
                <w:rFonts w:ascii="宋体" w:eastAsia="宋体" w:hAnsi="宋体" w:cs="宋体"/>
                <w:sz w:val="18"/>
                <w:szCs w:val="18"/>
              </w:rPr>
              <w:t>为一致</w:t>
            </w:r>
            <w:proofErr w:type="gramEnd"/>
            <w:r w:rsidRPr="008B5490">
              <w:rPr>
                <w:rFonts w:ascii="宋体" w:eastAsia="宋体" w:hAnsi="宋体" w:cs="宋体"/>
                <w:sz w:val="18"/>
                <w:szCs w:val="18"/>
              </w:rPr>
              <w:t>行动人；除此之外，公司未知其他前10名无限</w:t>
            </w:r>
            <w:proofErr w:type="gramStart"/>
            <w:r w:rsidRPr="008B5490">
              <w:rPr>
                <w:rFonts w:ascii="宋体" w:eastAsia="宋体" w:hAnsi="宋体" w:cs="宋体"/>
                <w:sz w:val="18"/>
                <w:szCs w:val="18"/>
              </w:rPr>
              <w:t>售条件</w:t>
            </w:r>
            <w:proofErr w:type="gramEnd"/>
            <w:r w:rsidRPr="008B5490">
              <w:rPr>
                <w:rFonts w:ascii="宋体" w:eastAsia="宋体" w:hAnsi="宋体" w:cs="宋体"/>
                <w:sz w:val="18"/>
                <w:szCs w:val="18"/>
              </w:rPr>
              <w:t>普通股股东之间，以及其他前10名无限</w:t>
            </w:r>
            <w:proofErr w:type="gramStart"/>
            <w:r w:rsidRPr="008B5490">
              <w:rPr>
                <w:rFonts w:ascii="宋体" w:eastAsia="宋体" w:hAnsi="宋体" w:cs="宋体"/>
                <w:sz w:val="18"/>
                <w:szCs w:val="18"/>
              </w:rPr>
              <w:t>售条件</w:t>
            </w:r>
            <w:proofErr w:type="gramEnd"/>
            <w:r w:rsidRPr="008B5490">
              <w:rPr>
                <w:rFonts w:ascii="宋体" w:eastAsia="宋体" w:hAnsi="宋体" w:cs="宋体"/>
                <w:sz w:val="18"/>
                <w:szCs w:val="18"/>
              </w:rPr>
              <w:t>普通股股东和其他前10名普通股股东之间是否存在关联关系或属于《上市公司收购管理办法》中规定的一致行动人。</w:t>
            </w:r>
          </w:p>
        </w:tc>
      </w:tr>
      <w:tr w:rsidR="00A27D66" w:rsidRPr="008B5490" w:rsidTr="008B5490">
        <w:trPr>
          <w:trHeight w:val="240"/>
        </w:trPr>
        <w:tc>
          <w:tcPr>
            <w:tcW w:w="269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Pr="008B5490" w:rsidRDefault="00A2119D">
            <w:pPr>
              <w:spacing w:before="40" w:after="40" w:line="240" w:lineRule="exact"/>
              <w:rPr>
                <w:rFonts w:ascii="宋体" w:eastAsia="宋体" w:hAnsi="宋体" w:cs="宋体"/>
                <w:sz w:val="18"/>
                <w:szCs w:val="18"/>
              </w:rPr>
            </w:pPr>
            <w:r w:rsidRPr="008B5490">
              <w:rPr>
                <w:rFonts w:ascii="宋体" w:eastAsia="宋体" w:hAnsi="宋体" w:cs="宋体"/>
                <w:sz w:val="18"/>
                <w:szCs w:val="18"/>
              </w:rPr>
              <w:t>前10名普通股股东参与融资融券业务情况说明（如有）（参见注4）</w:t>
            </w:r>
          </w:p>
        </w:tc>
        <w:tc>
          <w:tcPr>
            <w:tcW w:w="6945" w:type="dxa"/>
            <w:gridSpan w:val="8"/>
            <w:tcBorders>
              <w:top w:val="single" w:sz="2" w:space="0" w:color="auto"/>
              <w:left w:val="single" w:sz="2" w:space="0" w:color="auto"/>
              <w:bottom w:val="single" w:sz="2" w:space="0" w:color="auto"/>
              <w:right w:val="single" w:sz="2" w:space="0" w:color="auto"/>
            </w:tcBorders>
            <w:vAlign w:val="center"/>
          </w:tcPr>
          <w:p w:rsidR="00A27D66" w:rsidRPr="001F1189" w:rsidRDefault="001F1189" w:rsidP="001F1189">
            <w:pPr>
              <w:autoSpaceDE w:val="0"/>
              <w:autoSpaceDN w:val="0"/>
              <w:adjustRightInd w:val="0"/>
              <w:rPr>
                <w:rFonts w:ascii="宋体" w:eastAsia="宋体" w:hAnsi="宋体" w:cs="宋体"/>
                <w:sz w:val="18"/>
                <w:szCs w:val="18"/>
              </w:rPr>
            </w:pPr>
            <w:r w:rsidRPr="008B5490">
              <w:rPr>
                <w:rFonts w:ascii="宋体" w:eastAsia="宋体" w:hAnsi="宋体" w:cs="宋体"/>
                <w:sz w:val="18"/>
                <w:szCs w:val="18"/>
              </w:rPr>
              <w:t>前10名</w:t>
            </w:r>
            <w:r>
              <w:rPr>
                <w:rFonts w:ascii="宋体" w:eastAsia="宋体" w:hAnsi="宋体" w:cs="宋体" w:hint="eastAsia"/>
                <w:sz w:val="18"/>
                <w:szCs w:val="18"/>
              </w:rPr>
              <w:t>公司</w:t>
            </w:r>
            <w:r w:rsidRPr="008B5490">
              <w:rPr>
                <w:rFonts w:ascii="宋体" w:eastAsia="宋体" w:hAnsi="宋体" w:cs="宋体"/>
                <w:sz w:val="18"/>
                <w:szCs w:val="18"/>
              </w:rPr>
              <w:t>股东中，德力西集团有限公司</w:t>
            </w:r>
            <w:r w:rsidRPr="001F74D1">
              <w:rPr>
                <w:rFonts w:ascii="宋体" w:eastAsia="宋体" w:hAnsi="宋体" w:cs="宋体" w:hint="eastAsia"/>
                <w:sz w:val="18"/>
                <w:szCs w:val="18"/>
              </w:rPr>
              <w:t>通过普通证券账户持有</w:t>
            </w:r>
            <w:r w:rsidRPr="001F74D1">
              <w:rPr>
                <w:rFonts w:ascii="宋体" w:eastAsia="宋体" w:hAnsi="宋体" w:cs="宋体"/>
                <w:sz w:val="18"/>
                <w:szCs w:val="18"/>
              </w:rPr>
              <w:t xml:space="preserve">151,087,400 </w:t>
            </w:r>
            <w:r>
              <w:rPr>
                <w:rFonts w:ascii="宋体" w:eastAsia="宋体" w:hAnsi="宋体" w:cs="宋体" w:hint="eastAsia"/>
                <w:sz w:val="18"/>
                <w:szCs w:val="18"/>
              </w:rPr>
              <w:t>股</w:t>
            </w:r>
            <w:r w:rsidRPr="001F74D1">
              <w:rPr>
                <w:rFonts w:ascii="宋体" w:eastAsia="宋体" w:hAnsi="宋体" w:cs="宋体" w:hint="eastAsia"/>
                <w:sz w:val="18"/>
                <w:szCs w:val="18"/>
              </w:rPr>
              <w:t>,</w:t>
            </w:r>
            <w:r w:rsidRPr="008B5490">
              <w:rPr>
                <w:rFonts w:ascii="宋体" w:eastAsia="宋体" w:hAnsi="宋体" w:cs="宋体"/>
                <w:sz w:val="18"/>
                <w:szCs w:val="18"/>
              </w:rPr>
              <w:t>通过财通证券股份有限公司客户信用交易担保证券账户持有35,000,000股，</w:t>
            </w:r>
            <w:r>
              <w:rPr>
                <w:rFonts w:ascii="宋体" w:eastAsia="宋体" w:hAnsi="宋体" w:cs="宋体" w:hint="eastAsia"/>
                <w:sz w:val="18"/>
                <w:szCs w:val="18"/>
              </w:rPr>
              <w:t>实际合计持有1</w:t>
            </w:r>
            <w:r>
              <w:rPr>
                <w:rFonts w:ascii="宋体" w:eastAsia="宋体" w:hAnsi="宋体" w:cs="宋体"/>
                <w:sz w:val="18"/>
                <w:szCs w:val="18"/>
              </w:rPr>
              <w:t>86,087,400</w:t>
            </w:r>
            <w:r>
              <w:rPr>
                <w:rFonts w:ascii="宋体" w:eastAsia="宋体" w:hAnsi="宋体" w:cs="宋体" w:hint="eastAsia"/>
                <w:sz w:val="18"/>
                <w:szCs w:val="18"/>
              </w:rPr>
              <w:t>股；</w:t>
            </w:r>
            <w:r w:rsidRPr="008B5490">
              <w:rPr>
                <w:rFonts w:ascii="宋体" w:eastAsia="宋体" w:hAnsi="宋体" w:cs="宋体"/>
                <w:sz w:val="18"/>
                <w:szCs w:val="18"/>
              </w:rPr>
              <w:t>谢慧明</w:t>
            </w:r>
            <w:r w:rsidRPr="001F74D1">
              <w:rPr>
                <w:rFonts w:ascii="宋体" w:eastAsia="宋体" w:hAnsi="宋体" w:cs="宋体" w:hint="eastAsia"/>
                <w:sz w:val="18"/>
                <w:szCs w:val="18"/>
              </w:rPr>
              <w:t>通过普通证券账户持有</w:t>
            </w:r>
            <w:r w:rsidRPr="001F74D1">
              <w:rPr>
                <w:rFonts w:ascii="宋体" w:eastAsia="宋体" w:hAnsi="宋体" w:cs="宋体"/>
                <w:sz w:val="18"/>
                <w:szCs w:val="18"/>
              </w:rPr>
              <w:t xml:space="preserve">0 </w:t>
            </w:r>
            <w:r>
              <w:rPr>
                <w:rFonts w:ascii="宋体" w:eastAsia="宋体" w:hAnsi="宋体" w:cs="宋体" w:hint="eastAsia"/>
                <w:sz w:val="18"/>
                <w:szCs w:val="18"/>
              </w:rPr>
              <w:t>股</w:t>
            </w:r>
            <w:r w:rsidRPr="001F74D1">
              <w:rPr>
                <w:rFonts w:ascii="宋体" w:eastAsia="宋体" w:hAnsi="宋体" w:cs="宋体" w:hint="eastAsia"/>
                <w:sz w:val="18"/>
                <w:szCs w:val="18"/>
              </w:rPr>
              <w:t>，</w:t>
            </w:r>
            <w:r>
              <w:rPr>
                <w:rFonts w:ascii="宋体" w:eastAsia="宋体" w:hAnsi="宋体" w:cs="宋体"/>
                <w:sz w:val="18"/>
                <w:szCs w:val="18"/>
              </w:rPr>
              <w:t>通过西南证券股份有限公司客户信用交易担保证券账户持有</w:t>
            </w:r>
            <w:r w:rsidRPr="008B5490">
              <w:rPr>
                <w:rFonts w:ascii="宋体" w:eastAsia="宋体" w:hAnsi="宋体" w:cs="宋体"/>
                <w:sz w:val="18"/>
                <w:szCs w:val="18"/>
              </w:rPr>
              <w:t>15,480,600股，</w:t>
            </w:r>
            <w:r>
              <w:rPr>
                <w:rFonts w:ascii="宋体" w:eastAsia="宋体" w:hAnsi="宋体" w:cs="宋体" w:hint="eastAsia"/>
                <w:sz w:val="18"/>
                <w:szCs w:val="18"/>
              </w:rPr>
              <w:t>实际合计持有1</w:t>
            </w:r>
            <w:r w:rsidRPr="008B5490">
              <w:rPr>
                <w:rFonts w:ascii="宋体" w:eastAsia="宋体" w:hAnsi="宋体" w:cs="宋体"/>
                <w:sz w:val="18"/>
                <w:szCs w:val="18"/>
              </w:rPr>
              <w:t>5,480,600</w:t>
            </w:r>
            <w:r>
              <w:rPr>
                <w:rFonts w:ascii="宋体" w:eastAsia="宋体" w:hAnsi="宋体" w:cs="宋体" w:hint="eastAsia"/>
                <w:sz w:val="18"/>
                <w:szCs w:val="18"/>
              </w:rPr>
              <w:t>股。</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持股5%以上股东、前10名股东及前10名无限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股股东参与转融通业务出借股份情况</w:t>
      </w:r>
    </w:p>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前10名股东及前10名无限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股股东因转融通出借/归还原因导致较上期发生变化</w:t>
      </w:r>
    </w:p>
    <w:p w:rsidR="00A27D66" w:rsidRDefault="00A2119D">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普通股股东在报告期内是否进行约定购回交易</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普通股股东在报告期内未进行约定购回交易。</w:t>
      </w:r>
    </w:p>
    <w:p w:rsidR="00A27D66" w:rsidRDefault="00A2119D">
      <w:pPr>
        <w:pStyle w:val="3"/>
        <w:spacing w:line="280" w:lineRule="exact"/>
        <w:jc w:val="left"/>
        <w:rPr>
          <w:rFonts w:ascii="宋体" w:hAnsi="宋体" w:cs="宋体"/>
          <w:b/>
          <w:bCs/>
        </w:rPr>
      </w:pPr>
      <w:bookmarkStart w:id="143" w:name="_Toc989028"/>
      <w:r>
        <w:rPr>
          <w:rFonts w:ascii="宋体" w:hAnsi="宋体" w:cs="宋体"/>
          <w:b/>
          <w:bCs/>
        </w:rPr>
        <w:t>2、公司控股股东情况</w:t>
      </w:r>
      <w:bookmarkEnd w:id="143"/>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控股股东性质：自然人控股</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控股股东类型：法人</w:t>
      </w:r>
    </w:p>
    <w:tbl>
      <w:tblPr>
        <w:tblW w:w="9512"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85"/>
        <w:gridCol w:w="1276"/>
        <w:gridCol w:w="1134"/>
        <w:gridCol w:w="1134"/>
        <w:gridCol w:w="3969"/>
        <w:gridCol w:w="14"/>
      </w:tblGrid>
      <w:tr w:rsidR="00A27D66" w:rsidTr="00A47D08">
        <w:trPr>
          <w:gridAfter w:val="1"/>
          <w:wAfter w:w="14" w:type="dxa"/>
          <w:trHeight w:val="240"/>
        </w:trPr>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控股股东名称</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法定代表人/单位负责人</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成立日期</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组织机构代码</w:t>
            </w:r>
          </w:p>
        </w:tc>
        <w:tc>
          <w:tcPr>
            <w:tcW w:w="396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主要经营业务</w:t>
            </w:r>
          </w:p>
        </w:tc>
      </w:tr>
      <w:tr w:rsidR="00A27D66" w:rsidTr="00A47D08">
        <w:trPr>
          <w:gridAfter w:val="1"/>
          <w:wAfter w:w="14" w:type="dxa"/>
          <w:trHeight w:val="240"/>
        </w:trPr>
        <w:tc>
          <w:tcPr>
            <w:tcW w:w="198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德力西集团有限公司</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胡成中</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1991年06月26日</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91330382145573168C</w:t>
            </w:r>
          </w:p>
        </w:tc>
        <w:tc>
          <w:tcPr>
            <w:tcW w:w="396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一般项目：机械电气设备制造；机械电气设备销售；配电开关控制设备制造；配电开关控制设备销售；仪器仪表制造；仪器仪表销售；通信设备制造；通信设备销售；电力设施器材制造；电力设施器材销售；五金产品制造；五金产品批发；五金产品零售；电器辅件制造；电器辅件销售；服饰制造；服装服饰批发；服装服饰零售；化工产品销售（不含许可类化工产品）；以自有资金从事投资活动；货物进出口；技术进出口；技术服务、技术开发、技术咨询、技术交流、技术转让、技术推广；品牌管理（除依法须经批准的项目外，凭营业执照依法自主开展经营活动）。许可项目：建设工程施工（依法须经批准的项目，经相关部门批准后方可开展经营活动，具体经营项目以审批结果为准）。</w:t>
            </w:r>
          </w:p>
        </w:tc>
      </w:tr>
      <w:tr w:rsidR="00A27D66" w:rsidTr="00A47D08">
        <w:trPr>
          <w:trHeight w:val="240"/>
        </w:trPr>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控股股东报告期内控股和参股的其他境内外上市公司的股权情况</w:t>
            </w:r>
          </w:p>
        </w:tc>
        <w:tc>
          <w:tcPr>
            <w:tcW w:w="7527" w:type="dxa"/>
            <w:gridSpan w:val="5"/>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控股股东德力西集团有限公司的控股子公司德力西新疆投资集团有限公司持有德力西新能源科技股份有限公司（证券代码：603032）47.87%股权。</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控股股东报告期内变更</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A27D66" w:rsidRDefault="00A2119D">
      <w:pPr>
        <w:pStyle w:val="3"/>
        <w:spacing w:line="280" w:lineRule="exact"/>
        <w:jc w:val="left"/>
        <w:rPr>
          <w:rFonts w:ascii="宋体" w:hAnsi="宋体" w:cs="宋体"/>
          <w:b/>
          <w:bCs/>
        </w:rPr>
      </w:pPr>
      <w:bookmarkStart w:id="144" w:name="_Toc989029"/>
      <w:r>
        <w:rPr>
          <w:rFonts w:ascii="宋体" w:hAnsi="宋体" w:cs="宋体"/>
          <w:b/>
          <w:bCs/>
        </w:rPr>
        <w:t>3、公司实际控制人及其一致行动人</w:t>
      </w:r>
      <w:bookmarkEnd w:id="144"/>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实际控制人性质：境内自然人</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实际控制人类型：自然人</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实际控制人姓名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与实际控制人关系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国籍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是否取得其他国家或地区居留权</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胡成中</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本人</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中国</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否</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主要职业及职务</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德力西集团有限公司董事局主席</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过去10年曾控股的境内外上市公司情况</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德新科技，证券代码：603032，主要经营：锂电制造设备的研发、设计、制造、销售与服务以及道路旅客运输和客运汽车站业务。</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公司报告期实际控制人未发生变更。</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公司与实际控制人之间的产权及控制关系的方框图</w:t>
      </w:r>
    </w:p>
    <w:p w:rsidR="00A27D66" w:rsidRDefault="00A2119D">
      <w:pPr>
        <w:spacing w:before="40" w:after="40" w:line="0" w:lineRule="atLeast"/>
        <w:jc w:val="center"/>
        <w:rPr>
          <w:rFonts w:ascii="Times New Roman" w:eastAsia="宋体" w:hAnsi="Times New Roman" w:cs="Times New Roman"/>
        </w:rPr>
      </w:pPr>
      <w:r>
        <w:rPr>
          <w:rFonts w:ascii="Times New Roman" w:eastAsia="宋体" w:hAnsi="Times New Roman" w:cs="Times New Roman"/>
          <w:noProof/>
        </w:rPr>
        <w:drawing>
          <wp:inline distT="0" distB="0" distL="0" distR="0" wp14:anchorId="2FDDD2C1" wp14:editId="6BEB04DC">
            <wp:extent cx="2195512"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stretch>
                      <a:fillRect/>
                    </a:stretch>
                  </pic:blipFill>
                  <pic:spPr>
                    <a:xfrm>
                      <a:off x="0" y="0"/>
                      <a:ext cx="2195512" cy="2095500"/>
                    </a:xfrm>
                    <a:prstGeom prst="rect">
                      <a:avLst/>
                    </a:prstGeom>
                  </pic:spPr>
                </pic:pic>
              </a:graphicData>
            </a:graphic>
          </wp:inline>
        </w:drawing>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实际控制人通过信托或其他资产管理方式控制公司</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145" w:name="_Toc989030"/>
      <w:r>
        <w:rPr>
          <w:rFonts w:ascii="宋体" w:hAnsi="宋体" w:cs="宋体"/>
          <w:b/>
          <w:bCs/>
        </w:rPr>
        <w:t>4、公司控股股东或第一大股东及其一致行动人累计质押股份数量占其所持公司股份数量比例达到80%</w:t>
      </w:r>
      <w:bookmarkEnd w:id="145"/>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146" w:name="_Toc989031"/>
      <w:r>
        <w:rPr>
          <w:rFonts w:ascii="宋体" w:hAnsi="宋体" w:cs="宋体"/>
          <w:b/>
          <w:bCs/>
        </w:rPr>
        <w:t>5、其他持股在10%以上的法人股东</w:t>
      </w:r>
      <w:bookmarkEnd w:id="146"/>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147" w:name="_Toc989032"/>
      <w:r>
        <w:rPr>
          <w:rFonts w:ascii="宋体" w:hAnsi="宋体" w:cs="宋体"/>
          <w:b/>
          <w:bCs/>
        </w:rPr>
        <w:t>6、控股股东、实际控制人、重组方及其他承诺主体股份限制减持情况</w:t>
      </w:r>
      <w:bookmarkEnd w:id="147"/>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148" w:name="_Toc989033"/>
      <w:r>
        <w:rPr>
          <w:rFonts w:ascii="宋体" w:eastAsia="宋体" w:hAnsi="宋体" w:cs="宋体"/>
          <w:b/>
          <w:bCs/>
          <w:sz w:val="24"/>
          <w:szCs w:val="24"/>
        </w:rPr>
        <w:t>四、股份回购在报告期的具体实施情况</w:t>
      </w:r>
      <w:bookmarkEnd w:id="148"/>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股份回购的实施进展情况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A27D66">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方案披露时间</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拟回购股</w:t>
            </w:r>
            <w:proofErr w:type="gramEnd"/>
            <w:r>
              <w:rPr>
                <w:rFonts w:ascii="宋体" w:eastAsia="宋体" w:hAnsi="宋体" w:cs="宋体"/>
                <w:sz w:val="18"/>
                <w:szCs w:val="18"/>
              </w:rPr>
              <w:t>份数量（股）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占总股本的比例</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拟回购金额（万元）</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拟回购期间</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回购用途</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已回购数量（股）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已回购数量占股权激励计划所涉及的标的股票的比例（如有）</w:t>
            </w:r>
          </w:p>
        </w:tc>
      </w:tr>
      <w:tr w:rsidR="00A27D66">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2024年03月05日</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250万股至500万股</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0.56%至1.13%</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2500万至5000万</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2024年3月4日至2025年3月3日</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用于实施公司股权激励计划</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4,370,000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采用集中竞价交易方式减持回购股份的实施进展情况</w:t>
      </w:r>
    </w:p>
    <w:p w:rsidR="00A27D66" w:rsidRPr="00A47D08" w:rsidRDefault="00A2119D" w:rsidP="00A47D08">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headingh1"/>
        <w:spacing w:before="340" w:after="330" w:line="773" w:lineRule="exact"/>
        <w:jc w:val="center"/>
        <w:rPr>
          <w:rFonts w:ascii="宋体" w:eastAsia="宋体" w:hAnsi="宋体" w:cs="宋体"/>
          <w:b/>
          <w:bCs/>
          <w:sz w:val="32"/>
          <w:szCs w:val="32"/>
        </w:rPr>
      </w:pPr>
      <w:bookmarkStart w:id="149" w:name="_Toc989034"/>
      <w:r>
        <w:rPr>
          <w:rFonts w:ascii="宋体" w:eastAsia="宋体" w:hAnsi="宋体" w:cs="宋体"/>
          <w:b/>
          <w:bCs/>
          <w:sz w:val="32"/>
          <w:szCs w:val="32"/>
        </w:rPr>
        <w:lastRenderedPageBreak/>
        <w:t>第八节 优先股相关情况</w:t>
      </w:r>
      <w:bookmarkEnd w:id="149"/>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报告期公司不存在优先股。</w:t>
      </w:r>
    </w:p>
    <w:p w:rsidR="00A27D66" w:rsidRDefault="00A2119D">
      <w:pPr>
        <w:pStyle w:val="headingh1"/>
        <w:spacing w:before="340" w:after="330" w:line="773" w:lineRule="exact"/>
        <w:jc w:val="center"/>
        <w:rPr>
          <w:rFonts w:ascii="宋体" w:eastAsia="宋体" w:hAnsi="宋体" w:cs="宋体"/>
          <w:b/>
          <w:bCs/>
          <w:sz w:val="32"/>
          <w:szCs w:val="32"/>
        </w:rPr>
      </w:pPr>
      <w:bookmarkStart w:id="150" w:name="_Toc989035"/>
      <w:r>
        <w:rPr>
          <w:rFonts w:ascii="宋体" w:eastAsia="宋体" w:hAnsi="宋体" w:cs="宋体"/>
          <w:b/>
          <w:bCs/>
          <w:sz w:val="32"/>
          <w:szCs w:val="32"/>
        </w:rPr>
        <w:t>第九节 债券相关情况</w:t>
      </w:r>
      <w:bookmarkEnd w:id="150"/>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r>
        <w:br w:type="page"/>
      </w:r>
    </w:p>
    <w:p w:rsidR="00A27D66" w:rsidRDefault="00A2119D">
      <w:pPr>
        <w:pStyle w:val="headingh1"/>
        <w:spacing w:before="340" w:after="330" w:line="773" w:lineRule="exact"/>
        <w:jc w:val="center"/>
        <w:rPr>
          <w:rFonts w:ascii="宋体" w:eastAsia="宋体" w:hAnsi="宋体" w:cs="宋体"/>
          <w:b/>
          <w:bCs/>
          <w:sz w:val="32"/>
          <w:szCs w:val="32"/>
        </w:rPr>
      </w:pPr>
      <w:bookmarkStart w:id="151" w:name="_Toc989036"/>
      <w:r>
        <w:rPr>
          <w:rFonts w:ascii="宋体" w:eastAsia="宋体" w:hAnsi="宋体" w:cs="宋体"/>
          <w:b/>
          <w:bCs/>
          <w:sz w:val="32"/>
          <w:szCs w:val="32"/>
        </w:rPr>
        <w:lastRenderedPageBreak/>
        <w:t>第十节 财务报告</w:t>
      </w:r>
      <w:bookmarkEnd w:id="151"/>
    </w:p>
    <w:p w:rsidR="00A27D66" w:rsidRDefault="00A2119D">
      <w:pPr>
        <w:pStyle w:val="2"/>
        <w:spacing w:before="300" w:after="300" w:line="320" w:lineRule="exact"/>
        <w:rPr>
          <w:rFonts w:ascii="宋体" w:eastAsia="宋体" w:hAnsi="宋体" w:cs="宋体"/>
          <w:b/>
          <w:bCs/>
          <w:sz w:val="24"/>
          <w:szCs w:val="24"/>
        </w:rPr>
      </w:pPr>
      <w:bookmarkStart w:id="152" w:name="_Toc989037"/>
      <w:r>
        <w:rPr>
          <w:rFonts w:ascii="宋体" w:eastAsia="宋体" w:hAnsi="宋体" w:cs="宋体"/>
          <w:b/>
          <w:bCs/>
          <w:sz w:val="24"/>
          <w:szCs w:val="24"/>
        </w:rPr>
        <w:t>一、审计报告</w:t>
      </w:r>
      <w:bookmarkEnd w:id="15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审计意见类型</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标准的无保留意见</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审计报告签署日期</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2025年04月17日</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审计机构名称</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广东司农会计师事务所（特殊普通合伙）</w:t>
            </w:r>
          </w:p>
        </w:tc>
      </w:tr>
      <w:tr w:rsidR="007227D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7227D6" w:rsidRPr="007227D6" w:rsidRDefault="007227D6">
            <w:pPr>
              <w:spacing w:before="40" w:after="40" w:line="240" w:lineRule="exact"/>
              <w:rPr>
                <w:rFonts w:ascii="宋体" w:eastAsia="宋体" w:hAnsi="宋体" w:cs="宋体"/>
                <w:sz w:val="18"/>
                <w:szCs w:val="18"/>
                <w:highlight w:val="yellow"/>
              </w:rPr>
            </w:pPr>
            <w:r w:rsidRPr="00953733">
              <w:rPr>
                <w:rFonts w:ascii="宋体" w:eastAsia="宋体" w:hAnsi="宋体" w:cs="宋体" w:hint="eastAsia"/>
                <w:sz w:val="18"/>
                <w:szCs w:val="18"/>
              </w:rPr>
              <w:t>审计报告文号</w:t>
            </w:r>
          </w:p>
        </w:tc>
        <w:tc>
          <w:tcPr>
            <w:tcW w:w="4820" w:type="dxa"/>
            <w:tcBorders>
              <w:top w:val="single" w:sz="2" w:space="0" w:color="auto"/>
              <w:left w:val="single" w:sz="2" w:space="0" w:color="auto"/>
              <w:bottom w:val="single" w:sz="2" w:space="0" w:color="auto"/>
              <w:right w:val="single" w:sz="2" w:space="0" w:color="auto"/>
            </w:tcBorders>
            <w:vAlign w:val="center"/>
          </w:tcPr>
          <w:p w:rsidR="007227D6" w:rsidRPr="007227D6" w:rsidRDefault="00953733">
            <w:pPr>
              <w:spacing w:line="240" w:lineRule="exact"/>
              <w:rPr>
                <w:rFonts w:ascii="宋体" w:eastAsia="宋体" w:hAnsi="宋体" w:cs="宋体"/>
                <w:sz w:val="18"/>
                <w:szCs w:val="18"/>
                <w:highlight w:val="yellow"/>
              </w:rPr>
            </w:pPr>
            <w:proofErr w:type="gramStart"/>
            <w:r w:rsidRPr="00AE4F5B">
              <w:rPr>
                <w:rFonts w:ascii="宋体" w:eastAsia="宋体" w:hAnsi="宋体" w:cs="宋体" w:hint="eastAsia"/>
                <w:sz w:val="18"/>
                <w:szCs w:val="18"/>
              </w:rPr>
              <w:t>司农审字</w:t>
            </w:r>
            <w:proofErr w:type="gramEnd"/>
            <w:r w:rsidRPr="00AE4F5B">
              <w:rPr>
                <w:rFonts w:ascii="宋体" w:eastAsia="宋体" w:hAnsi="宋体" w:cs="宋体"/>
                <w:sz w:val="18"/>
                <w:szCs w:val="18"/>
              </w:rPr>
              <w:t>[2025]24007680022号</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刘火旺、梁剑云</w:t>
            </w:r>
          </w:p>
        </w:tc>
      </w:tr>
    </w:tbl>
    <w:p w:rsidR="00900CB8" w:rsidRDefault="00900CB8">
      <w:pPr>
        <w:spacing w:before="100" w:after="100" w:line="240" w:lineRule="exact"/>
        <w:jc w:val="center"/>
        <w:rPr>
          <w:rFonts w:ascii="宋体" w:eastAsia="宋体" w:hAnsi="宋体" w:cs="宋体"/>
          <w:sz w:val="18"/>
          <w:szCs w:val="18"/>
        </w:rPr>
      </w:pPr>
    </w:p>
    <w:p w:rsidR="00A27D66" w:rsidRDefault="00A2119D">
      <w:pPr>
        <w:spacing w:before="100" w:after="100" w:line="240" w:lineRule="exact"/>
        <w:jc w:val="center"/>
        <w:rPr>
          <w:rFonts w:ascii="宋体" w:eastAsia="宋体" w:hAnsi="宋体" w:cs="宋体"/>
          <w:sz w:val="18"/>
          <w:szCs w:val="18"/>
        </w:rPr>
      </w:pPr>
      <w:r>
        <w:rPr>
          <w:rFonts w:ascii="宋体" w:eastAsia="宋体" w:hAnsi="宋体" w:cs="宋体"/>
          <w:sz w:val="18"/>
          <w:szCs w:val="18"/>
        </w:rPr>
        <w:t>审计报告正文</w:t>
      </w:r>
    </w:p>
    <w:p w:rsidR="00A2119D" w:rsidRDefault="00A2119D">
      <w:pPr>
        <w:pStyle w:val="a3"/>
        <w:spacing w:before="120" w:beforeAutospacing="0" w:after="0" w:afterAutospacing="0" w:line="360" w:lineRule="auto"/>
        <w:jc w:val="both"/>
        <w:divId w:val="2141071085"/>
        <w:rPr>
          <w:rFonts w:ascii="Times New Roman" w:hAnsi="Times New Roman" w:cs="Times New Roman"/>
          <w:sz w:val="21"/>
          <w:szCs w:val="21"/>
        </w:rPr>
      </w:pPr>
      <w:r>
        <w:rPr>
          <w:rStyle w:val="a4"/>
          <w:rFonts w:cs="Times New Roman" w:hint="eastAsia"/>
          <w:sz w:val="28"/>
          <w:szCs w:val="28"/>
        </w:rPr>
        <w:t>广东甘化科工股份有限公司全体股东:</w:t>
      </w:r>
    </w:p>
    <w:p w:rsidR="00A2119D" w:rsidRDefault="007768E2">
      <w:pPr>
        <w:pStyle w:val="a3"/>
        <w:spacing w:before="120" w:beforeAutospacing="0" w:after="0" w:afterAutospacing="0" w:line="360" w:lineRule="auto"/>
        <w:ind w:firstLine="482"/>
        <w:jc w:val="both"/>
        <w:divId w:val="2141071085"/>
        <w:rPr>
          <w:rFonts w:ascii="Times New Roman" w:hAnsi="Times New Roman" w:cs="Times New Roman"/>
          <w:sz w:val="21"/>
          <w:szCs w:val="21"/>
        </w:rPr>
      </w:pPr>
      <w:r>
        <w:rPr>
          <w:rStyle w:val="a4"/>
          <w:rFonts w:cs="Times New Roman" w:hint="eastAsia"/>
        </w:rPr>
        <w:t>1</w:t>
      </w:r>
      <w:r w:rsidR="00A2119D">
        <w:rPr>
          <w:rStyle w:val="a4"/>
          <w:rFonts w:cs="Times New Roman" w:hint="eastAsia"/>
        </w:rPr>
        <w:t>、审计意见</w:t>
      </w:r>
    </w:p>
    <w:p w:rsidR="00A2119D" w:rsidRPr="0047158A" w:rsidRDefault="00A2119D" w:rsidP="0095463F">
      <w:pPr>
        <w:pStyle w:val="a3"/>
        <w:spacing w:before="0" w:beforeAutospacing="0" w:after="0" w:afterAutospacing="0" w:line="360" w:lineRule="auto"/>
        <w:ind w:firstLine="482"/>
        <w:jc w:val="both"/>
        <w:divId w:val="2141071085"/>
        <w:rPr>
          <w:rFonts w:ascii="Times New Roman" w:hAnsi="Times New Roman" w:cs="Times New Roman"/>
          <w:sz w:val="21"/>
          <w:szCs w:val="21"/>
        </w:rPr>
      </w:pPr>
      <w:r w:rsidRPr="0047158A">
        <w:rPr>
          <w:rFonts w:cs="Times New Roman" w:hint="eastAsia"/>
          <w:sz w:val="21"/>
          <w:szCs w:val="21"/>
        </w:rPr>
        <w:t>我们审计了广东甘化科工股份有限公司（以下简称“甘化科工”）财务报表，包括2024年12月31日的合并及母公司资产负债表，2024年度的合并及母公司利润表、合并及母公司现金流量表、合并及母公司所有者权益变动表以及相关财务报表附注。</w:t>
      </w:r>
    </w:p>
    <w:p w:rsidR="00A2119D" w:rsidRPr="0047158A" w:rsidRDefault="00A2119D" w:rsidP="0095463F">
      <w:pPr>
        <w:pStyle w:val="a3"/>
        <w:spacing w:before="0" w:beforeAutospacing="0" w:after="0" w:afterAutospacing="0" w:line="360" w:lineRule="auto"/>
        <w:ind w:firstLine="482"/>
        <w:jc w:val="both"/>
        <w:divId w:val="2141071085"/>
        <w:rPr>
          <w:rFonts w:ascii="Times New Roman" w:hAnsi="Times New Roman" w:cs="Times New Roman"/>
          <w:sz w:val="21"/>
          <w:szCs w:val="21"/>
        </w:rPr>
      </w:pPr>
      <w:r w:rsidRPr="0047158A">
        <w:rPr>
          <w:rFonts w:cs="Times New Roman" w:hint="eastAsia"/>
          <w:sz w:val="21"/>
          <w:szCs w:val="21"/>
        </w:rPr>
        <w:t>我们认为，后附的财务报表在所有重大方面按照企业会计准则的规定编制，公允反映了甘化科工2024年12月31日的合并及母公司财务状况以及2024年度的合并及母公司经营成果和现金流量。</w:t>
      </w:r>
    </w:p>
    <w:p w:rsidR="00A2119D" w:rsidRDefault="007768E2">
      <w:pPr>
        <w:pStyle w:val="a3"/>
        <w:spacing w:before="120" w:beforeAutospacing="0" w:after="0" w:afterAutospacing="0" w:line="360" w:lineRule="auto"/>
        <w:ind w:firstLine="482"/>
        <w:jc w:val="both"/>
        <w:divId w:val="2141071085"/>
        <w:rPr>
          <w:rFonts w:ascii="Times New Roman" w:hAnsi="Times New Roman" w:cs="Times New Roman"/>
          <w:sz w:val="21"/>
          <w:szCs w:val="21"/>
        </w:rPr>
      </w:pPr>
      <w:r>
        <w:rPr>
          <w:rStyle w:val="a4"/>
          <w:rFonts w:cs="Times New Roman" w:hint="eastAsia"/>
        </w:rPr>
        <w:t>2</w:t>
      </w:r>
      <w:r w:rsidR="00A2119D">
        <w:rPr>
          <w:rStyle w:val="a4"/>
          <w:rFonts w:cs="Times New Roman" w:hint="eastAsia"/>
        </w:rPr>
        <w:t>、形成审计意见的基础</w:t>
      </w:r>
    </w:p>
    <w:p w:rsidR="00A2119D" w:rsidRPr="0047158A" w:rsidRDefault="00A2119D" w:rsidP="0095463F">
      <w:pPr>
        <w:pStyle w:val="a3"/>
        <w:spacing w:before="0" w:beforeAutospacing="0" w:after="0" w:afterAutospacing="0" w:line="360" w:lineRule="auto"/>
        <w:ind w:firstLine="482"/>
        <w:jc w:val="both"/>
        <w:divId w:val="2141071085"/>
        <w:rPr>
          <w:rFonts w:cs="Times New Roman"/>
          <w:sz w:val="21"/>
          <w:szCs w:val="21"/>
        </w:rPr>
      </w:pPr>
      <w:r w:rsidRPr="0047158A">
        <w:rPr>
          <w:rFonts w:cs="Times New Roman" w:hint="eastAsia"/>
          <w:sz w:val="21"/>
          <w:szCs w:val="21"/>
        </w:rPr>
        <w:t>我们按照中国注册会计师审计准则的规定执行了审计工作。审计报告的“注册会计师对财务报表审计的责任”部分进一步阐述了我们在这些准则下的责任。按照中国注册会计师职业道德守则，我们独立于甘化科工，并履行了职业道德方面的其他责任。我们相信，我们获取的审计证据是充分、适当的，为发表审计意见提供了基础。</w:t>
      </w:r>
    </w:p>
    <w:p w:rsidR="00A2119D" w:rsidRDefault="007768E2">
      <w:pPr>
        <w:pStyle w:val="a3"/>
        <w:spacing w:before="120" w:beforeAutospacing="0" w:after="0" w:afterAutospacing="0" w:line="360" w:lineRule="auto"/>
        <w:ind w:firstLine="482"/>
        <w:jc w:val="both"/>
        <w:divId w:val="2141071085"/>
        <w:rPr>
          <w:color w:val="000000"/>
        </w:rPr>
      </w:pPr>
      <w:r>
        <w:rPr>
          <w:rStyle w:val="a4"/>
          <w:rFonts w:hint="eastAsia"/>
        </w:rPr>
        <w:t>3</w:t>
      </w:r>
      <w:r w:rsidR="00A2119D">
        <w:rPr>
          <w:rStyle w:val="a4"/>
          <w:rFonts w:hint="eastAsia"/>
        </w:rPr>
        <w:t>、关键审计事项</w:t>
      </w:r>
    </w:p>
    <w:p w:rsidR="00A2119D" w:rsidRPr="0047158A" w:rsidRDefault="00A2119D" w:rsidP="0095463F">
      <w:pPr>
        <w:pStyle w:val="a3"/>
        <w:spacing w:before="0" w:beforeAutospacing="0" w:after="0" w:afterAutospacing="0" w:line="360" w:lineRule="auto"/>
        <w:ind w:firstLine="482"/>
        <w:jc w:val="both"/>
        <w:divId w:val="2141071085"/>
        <w:rPr>
          <w:rFonts w:cs="Times New Roman"/>
          <w:sz w:val="21"/>
          <w:szCs w:val="21"/>
        </w:rPr>
      </w:pPr>
      <w:r w:rsidRPr="0047158A">
        <w:rPr>
          <w:rFonts w:cs="Times New Roman" w:hint="eastAsia"/>
          <w:sz w:val="21"/>
          <w:szCs w:val="21"/>
        </w:rPr>
        <w:t>关键审计事项是我们根据职业判断，认为对本期财务报表审计最为重要的事项。这些事项的应对以对财务报表整体进行审计并形成审计意见为背景，我们不对这些事项单独发表意见。</w:t>
      </w:r>
    </w:p>
    <w:p w:rsidR="00A2119D" w:rsidRPr="0047158A" w:rsidRDefault="00A2119D" w:rsidP="0095463F">
      <w:pPr>
        <w:pStyle w:val="a3"/>
        <w:spacing w:before="0" w:beforeAutospacing="0" w:after="0" w:afterAutospacing="0" w:line="360" w:lineRule="auto"/>
        <w:ind w:firstLine="482"/>
        <w:jc w:val="both"/>
        <w:divId w:val="2141071085"/>
        <w:rPr>
          <w:rFonts w:cs="Times New Roman"/>
          <w:sz w:val="21"/>
          <w:szCs w:val="21"/>
        </w:rPr>
      </w:pPr>
      <w:r w:rsidRPr="0047158A">
        <w:rPr>
          <w:rFonts w:cs="Times New Roman" w:hint="eastAsia"/>
          <w:sz w:val="21"/>
          <w:szCs w:val="21"/>
        </w:rPr>
        <w:t>（</w:t>
      </w:r>
      <w:r w:rsidR="007768E2">
        <w:rPr>
          <w:rFonts w:cs="Times New Roman" w:hint="eastAsia"/>
          <w:sz w:val="21"/>
          <w:szCs w:val="21"/>
        </w:rPr>
        <w:t>1</w:t>
      </w:r>
      <w:r w:rsidRPr="0047158A">
        <w:rPr>
          <w:rFonts w:cs="Times New Roman" w:hint="eastAsia"/>
          <w:sz w:val="21"/>
          <w:szCs w:val="21"/>
        </w:rPr>
        <w:t>） 收入确认</w:t>
      </w:r>
    </w:p>
    <w:p w:rsidR="00A2119D" w:rsidRPr="0047158A" w:rsidRDefault="007768E2" w:rsidP="0095463F">
      <w:pPr>
        <w:pStyle w:val="a3"/>
        <w:spacing w:before="0" w:beforeAutospacing="0" w:after="0" w:afterAutospacing="0" w:line="360" w:lineRule="auto"/>
        <w:ind w:firstLine="482"/>
        <w:jc w:val="both"/>
        <w:divId w:val="2141071085"/>
        <w:rPr>
          <w:rFonts w:cs="Times New Roman"/>
          <w:sz w:val="21"/>
          <w:szCs w:val="21"/>
        </w:rPr>
      </w:pPr>
      <w:r>
        <w:rPr>
          <w:rFonts w:cs="Times New Roman" w:hint="eastAsia"/>
          <w:sz w:val="21"/>
          <w:szCs w:val="21"/>
        </w:rPr>
        <w:t>①</w:t>
      </w:r>
      <w:r w:rsidR="00A2119D" w:rsidRPr="0047158A">
        <w:rPr>
          <w:rFonts w:cs="Times New Roman" w:hint="eastAsia"/>
          <w:sz w:val="21"/>
          <w:szCs w:val="21"/>
        </w:rPr>
        <w:t>事项描述</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相关披露参见财务报表附注</w:t>
      </w:r>
      <w:r w:rsidR="004E566F">
        <w:rPr>
          <w:rFonts w:cs="Times New Roman" w:hint="eastAsia"/>
          <w:sz w:val="21"/>
          <w:szCs w:val="21"/>
        </w:rPr>
        <w:t>七</w:t>
      </w:r>
      <w:r w:rsidRPr="00D81328">
        <w:rPr>
          <w:rFonts w:cs="Times New Roman" w:hint="eastAsia"/>
          <w:sz w:val="21"/>
          <w:szCs w:val="21"/>
        </w:rPr>
        <w:t>、</w:t>
      </w:r>
      <w:r w:rsidR="004E566F">
        <w:rPr>
          <w:rFonts w:cs="Times New Roman" w:hint="eastAsia"/>
          <w:sz w:val="21"/>
          <w:szCs w:val="21"/>
        </w:rPr>
        <w:t>4</w:t>
      </w:r>
      <w:r w:rsidR="004E566F">
        <w:rPr>
          <w:rFonts w:cs="Times New Roman"/>
          <w:sz w:val="21"/>
          <w:szCs w:val="21"/>
        </w:rPr>
        <w:t>2</w:t>
      </w:r>
      <w:r w:rsidR="004E566F">
        <w:rPr>
          <w:rFonts w:cs="Times New Roman" w:hint="eastAsia"/>
          <w:sz w:val="21"/>
          <w:szCs w:val="21"/>
        </w:rPr>
        <w:t>、</w:t>
      </w:r>
      <w:r w:rsidRPr="00D81328">
        <w:rPr>
          <w:rFonts w:cs="Times New Roman" w:hint="eastAsia"/>
          <w:sz w:val="21"/>
          <w:szCs w:val="21"/>
        </w:rPr>
        <w:t>甘化科工公司2024年度营业收入人民币396,288,612.52元，关于收入确认的会计政策参见财务报表附注</w:t>
      </w:r>
      <w:r w:rsidR="004E566F">
        <w:rPr>
          <w:rFonts w:cs="Times New Roman" w:hint="eastAsia"/>
          <w:sz w:val="21"/>
          <w:szCs w:val="21"/>
        </w:rPr>
        <w:t>五</w:t>
      </w:r>
      <w:r w:rsidRPr="00D81328">
        <w:rPr>
          <w:rFonts w:cs="Times New Roman" w:hint="eastAsia"/>
          <w:sz w:val="21"/>
          <w:szCs w:val="21"/>
        </w:rPr>
        <w:t>、</w:t>
      </w:r>
      <w:r w:rsidR="004E566F">
        <w:rPr>
          <w:rFonts w:cs="Times New Roman" w:hint="eastAsia"/>
          <w:sz w:val="21"/>
          <w:szCs w:val="21"/>
        </w:rPr>
        <w:t>3</w:t>
      </w:r>
      <w:r w:rsidR="004E566F">
        <w:rPr>
          <w:rFonts w:cs="Times New Roman"/>
          <w:sz w:val="21"/>
          <w:szCs w:val="21"/>
        </w:rPr>
        <w:t>7</w:t>
      </w:r>
      <w:r w:rsidRPr="00D81328">
        <w:rPr>
          <w:rFonts w:cs="Times New Roman" w:hint="eastAsia"/>
          <w:sz w:val="21"/>
          <w:szCs w:val="21"/>
        </w:rPr>
        <w:t>。</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lastRenderedPageBreak/>
        <w:t>由于收入是公司的关键指标之一，从而存在甘化科工管理层（以下简称管理层）为了达到特定目标或期望而操纵收入确认时点的固有风险，我们将收入确认识别为关键审计事项。</w:t>
      </w:r>
    </w:p>
    <w:p w:rsidR="00A2119D" w:rsidRPr="00D81328" w:rsidRDefault="007768E2" w:rsidP="0095463F">
      <w:pPr>
        <w:pStyle w:val="a3"/>
        <w:spacing w:before="0" w:beforeAutospacing="0" w:after="0" w:afterAutospacing="0" w:line="360" w:lineRule="auto"/>
        <w:ind w:firstLine="482"/>
        <w:jc w:val="both"/>
        <w:divId w:val="2141071085"/>
        <w:rPr>
          <w:rFonts w:cs="Times New Roman"/>
          <w:sz w:val="21"/>
          <w:szCs w:val="21"/>
        </w:rPr>
      </w:pPr>
      <w:r>
        <w:rPr>
          <w:rFonts w:cs="Times New Roman" w:hint="eastAsia"/>
          <w:sz w:val="21"/>
          <w:szCs w:val="21"/>
        </w:rPr>
        <w:t>②</w:t>
      </w:r>
      <w:r w:rsidR="00A2119D" w:rsidRPr="00D81328">
        <w:rPr>
          <w:rFonts w:cs="Times New Roman" w:hint="eastAsia"/>
          <w:sz w:val="21"/>
          <w:szCs w:val="21"/>
        </w:rPr>
        <w:t>审计应对</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我们对收入确认实施的相关程序主要包括：</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1）了解和评价公司与收入确认相关的关键内部控制的设计和运行有效性；</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2）通过与管理层沟通等程序，了解公司的收入确认政策；通过检查主要客户销售合同、销售订单的相关条款，评价公司实际执行的收入确认政策是否适当，并复核相关会计政策是否一贯运用；</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3）选取样本实施细节测试，检查收入确认的支持性文件，包括获取公司的合同台账，抽查销售合同、收入确认的支持性证据（货物发运凭证、验收单）、销售发票、回款单等；</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4）实施截止测试程序，对于临近资产负债表日确认的收入，查询其货物签收单或验收单信息，判断收入确认是否跨期；</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5）选取样本对客户进行函证，</w:t>
      </w:r>
      <w:proofErr w:type="gramStart"/>
      <w:r w:rsidRPr="00D81328">
        <w:rPr>
          <w:rFonts w:cs="Times New Roman" w:hint="eastAsia"/>
          <w:sz w:val="21"/>
          <w:szCs w:val="21"/>
        </w:rPr>
        <w:t>函证内容</w:t>
      </w:r>
      <w:proofErr w:type="gramEnd"/>
      <w:r w:rsidRPr="00D81328">
        <w:rPr>
          <w:rFonts w:cs="Times New Roman" w:hint="eastAsia"/>
          <w:sz w:val="21"/>
          <w:szCs w:val="21"/>
        </w:rPr>
        <w:t>包括本期收入金额；</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6）按客户对比分析本期毛利率异常原因、检查主要客户及供应</w:t>
      </w:r>
      <w:proofErr w:type="gramStart"/>
      <w:r w:rsidRPr="00D81328">
        <w:rPr>
          <w:rFonts w:cs="Times New Roman" w:hint="eastAsia"/>
          <w:sz w:val="21"/>
          <w:szCs w:val="21"/>
        </w:rPr>
        <w:t>商工商</w:t>
      </w:r>
      <w:proofErr w:type="gramEnd"/>
      <w:r w:rsidRPr="00D81328">
        <w:rPr>
          <w:rFonts w:cs="Times New Roman" w:hint="eastAsia"/>
          <w:sz w:val="21"/>
          <w:szCs w:val="21"/>
        </w:rPr>
        <w:t>资料</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识别关联关系。</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w:t>
      </w:r>
      <w:r w:rsidR="007768E2">
        <w:rPr>
          <w:rFonts w:cs="Times New Roman" w:hint="eastAsia"/>
          <w:sz w:val="21"/>
          <w:szCs w:val="21"/>
        </w:rPr>
        <w:t>2</w:t>
      </w:r>
      <w:r w:rsidRPr="00D81328">
        <w:rPr>
          <w:rFonts w:cs="Times New Roman" w:hint="eastAsia"/>
          <w:sz w:val="21"/>
          <w:szCs w:val="21"/>
        </w:rPr>
        <w:t>） 商誉减值</w:t>
      </w:r>
    </w:p>
    <w:p w:rsidR="00A2119D" w:rsidRPr="00D81328" w:rsidRDefault="007768E2" w:rsidP="0095463F">
      <w:pPr>
        <w:pStyle w:val="a3"/>
        <w:spacing w:before="0" w:beforeAutospacing="0" w:after="0" w:afterAutospacing="0" w:line="360" w:lineRule="auto"/>
        <w:ind w:firstLine="482"/>
        <w:jc w:val="both"/>
        <w:divId w:val="2141071085"/>
        <w:rPr>
          <w:rFonts w:cs="Times New Roman"/>
          <w:sz w:val="21"/>
          <w:szCs w:val="21"/>
        </w:rPr>
      </w:pPr>
      <w:r>
        <w:rPr>
          <w:rFonts w:cs="Times New Roman" w:hint="eastAsia"/>
          <w:sz w:val="21"/>
          <w:szCs w:val="21"/>
        </w:rPr>
        <w:t>①</w:t>
      </w:r>
      <w:r w:rsidR="00A2119D" w:rsidRPr="00D81328">
        <w:rPr>
          <w:rFonts w:cs="Times New Roman" w:hint="eastAsia"/>
          <w:sz w:val="21"/>
          <w:szCs w:val="21"/>
        </w:rPr>
        <w:t>事项描述</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相关披露参见财务报表附注</w:t>
      </w:r>
      <w:r w:rsidR="004E566F">
        <w:rPr>
          <w:rFonts w:cs="Times New Roman" w:hint="eastAsia"/>
          <w:sz w:val="21"/>
          <w:szCs w:val="21"/>
        </w:rPr>
        <w:t>七</w:t>
      </w:r>
      <w:r w:rsidRPr="00D81328">
        <w:rPr>
          <w:rFonts w:cs="Times New Roman" w:hint="eastAsia"/>
          <w:sz w:val="21"/>
          <w:szCs w:val="21"/>
        </w:rPr>
        <w:t>、18。</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2024年12月31日，甘化科工公司合并财务报表中商誉账面原值为人民币776,293,721.43元、期末减值准备为313,929,467.91元。根据企业会计准则，甘化科工公司每年需要对商誉进行减值测试。甘化科工公司关于商誉减值的会计政策参见财务报表附注</w:t>
      </w:r>
      <w:r w:rsidR="004E566F">
        <w:rPr>
          <w:rFonts w:cs="Times New Roman" w:hint="eastAsia"/>
          <w:sz w:val="21"/>
          <w:szCs w:val="21"/>
        </w:rPr>
        <w:t>五</w:t>
      </w:r>
      <w:r w:rsidRPr="00D81328">
        <w:rPr>
          <w:rFonts w:cs="Times New Roman" w:hint="eastAsia"/>
          <w:sz w:val="21"/>
          <w:szCs w:val="21"/>
        </w:rPr>
        <w:t>、</w:t>
      </w:r>
      <w:r w:rsidR="00745844">
        <w:rPr>
          <w:rFonts w:cs="Times New Roman"/>
          <w:sz w:val="21"/>
          <w:szCs w:val="21"/>
        </w:rPr>
        <w:t>3</w:t>
      </w:r>
      <w:r w:rsidRPr="00D81328">
        <w:rPr>
          <w:rFonts w:cs="Times New Roman" w:hint="eastAsia"/>
          <w:sz w:val="21"/>
          <w:szCs w:val="21"/>
        </w:rPr>
        <w:t>0。</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由于商誉金额重大，商誉减值对甘化科工公司财务报表的影响重大，且商誉减值测试涉及管理层的重大判断和估计，我们将商誉减值测试识别为关键审计事项。</w:t>
      </w:r>
    </w:p>
    <w:p w:rsidR="00A2119D" w:rsidRPr="00D81328" w:rsidRDefault="007768E2" w:rsidP="0095463F">
      <w:pPr>
        <w:pStyle w:val="a3"/>
        <w:spacing w:before="0" w:beforeAutospacing="0" w:after="0" w:afterAutospacing="0" w:line="360" w:lineRule="auto"/>
        <w:ind w:firstLine="482"/>
        <w:jc w:val="both"/>
        <w:divId w:val="2141071085"/>
        <w:rPr>
          <w:rFonts w:cs="Times New Roman"/>
          <w:sz w:val="21"/>
          <w:szCs w:val="21"/>
        </w:rPr>
      </w:pPr>
      <w:r>
        <w:rPr>
          <w:rFonts w:cs="Times New Roman" w:hint="eastAsia"/>
          <w:sz w:val="21"/>
          <w:szCs w:val="21"/>
        </w:rPr>
        <w:t>②</w:t>
      </w:r>
      <w:r w:rsidR="00A2119D" w:rsidRPr="00D81328">
        <w:rPr>
          <w:rFonts w:cs="Times New Roman" w:hint="eastAsia"/>
          <w:sz w:val="21"/>
          <w:szCs w:val="21"/>
        </w:rPr>
        <w:t>审计应对</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我们对商誉减值测试实施的相关程序主要包括：</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1）与公司管理层及管理层聘请的评估专家讨论，了解形成商誉的被投资单位历史业绩情况及发展规划，评估宏观经济对行业发展的影响；</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2）评价评估专家的独立性及专业胜任能力，评价其工作结果的相关性和合理性；</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3）了解并评价评估专家所使用的评估方法、重要假设和相关参数的合理性等；</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4）对商誉减值测试中所依据的预测数据，了解及评价管理</w:t>
      </w:r>
      <w:proofErr w:type="gramStart"/>
      <w:r w:rsidRPr="00D81328">
        <w:rPr>
          <w:rFonts w:cs="Times New Roman" w:hint="eastAsia"/>
          <w:sz w:val="21"/>
          <w:szCs w:val="21"/>
        </w:rPr>
        <w:t>层预测</w:t>
      </w:r>
      <w:proofErr w:type="gramEnd"/>
      <w:r w:rsidRPr="00D81328">
        <w:rPr>
          <w:rFonts w:cs="Times New Roman" w:hint="eastAsia"/>
          <w:sz w:val="21"/>
          <w:szCs w:val="21"/>
        </w:rPr>
        <w:t>的相关依据及假设的合理性；</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lastRenderedPageBreak/>
        <w:t>5）了解和评价管理层与商誉减值测试相关的内部控制设计，并测试关键控制流程运行的有效性；</w:t>
      </w:r>
    </w:p>
    <w:p w:rsidR="00A2119D" w:rsidRPr="00D81328" w:rsidRDefault="00A2119D" w:rsidP="0095463F">
      <w:pPr>
        <w:pStyle w:val="a3"/>
        <w:spacing w:before="0" w:beforeAutospacing="0" w:after="0" w:afterAutospacing="0" w:line="360" w:lineRule="auto"/>
        <w:ind w:firstLine="482"/>
        <w:jc w:val="both"/>
        <w:divId w:val="2141071085"/>
        <w:rPr>
          <w:rFonts w:cs="Times New Roman"/>
          <w:sz w:val="21"/>
          <w:szCs w:val="21"/>
        </w:rPr>
      </w:pPr>
      <w:r w:rsidRPr="00D81328">
        <w:rPr>
          <w:rFonts w:cs="Times New Roman" w:hint="eastAsia"/>
          <w:sz w:val="21"/>
          <w:szCs w:val="21"/>
        </w:rPr>
        <w:t>6）将公司以前期间对商誉进行减值测试时采用的预测参数与本期进行比较，了解偏差的合理性；关注并复核公司管理层在</w:t>
      </w:r>
      <w:proofErr w:type="gramStart"/>
      <w:r w:rsidRPr="00D81328">
        <w:rPr>
          <w:rFonts w:cs="Times New Roman" w:hint="eastAsia"/>
          <w:sz w:val="21"/>
          <w:szCs w:val="21"/>
        </w:rPr>
        <w:t>作出</w:t>
      </w:r>
      <w:proofErr w:type="gramEnd"/>
      <w:r w:rsidRPr="00D81328">
        <w:rPr>
          <w:rFonts w:cs="Times New Roman" w:hint="eastAsia"/>
          <w:sz w:val="21"/>
          <w:szCs w:val="21"/>
        </w:rPr>
        <w:t>相关估计时的判断依据，以识别是否可能存在管理层偏向的迹象。</w:t>
      </w:r>
    </w:p>
    <w:p w:rsidR="00A2119D" w:rsidRDefault="007768E2">
      <w:pPr>
        <w:pStyle w:val="a3"/>
        <w:spacing w:before="120" w:beforeAutospacing="0" w:after="0" w:afterAutospacing="0" w:line="360" w:lineRule="auto"/>
        <w:ind w:firstLine="482"/>
        <w:jc w:val="both"/>
        <w:divId w:val="2141071085"/>
        <w:rPr>
          <w:rFonts w:ascii="Times New Roman" w:hAnsi="Times New Roman" w:cs="Times New Roman"/>
          <w:sz w:val="21"/>
          <w:szCs w:val="21"/>
        </w:rPr>
      </w:pPr>
      <w:r>
        <w:rPr>
          <w:rStyle w:val="a4"/>
          <w:rFonts w:cs="Times New Roman" w:hint="eastAsia"/>
        </w:rPr>
        <w:t>4</w:t>
      </w:r>
      <w:r w:rsidR="00A2119D">
        <w:rPr>
          <w:rStyle w:val="a4"/>
          <w:rFonts w:cs="Times New Roman" w:hint="eastAsia"/>
        </w:rPr>
        <w:t>、其他信息</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甘化科工管理层对其他信息负责。其他信息包括甘化科工2024年度报告中涵盖的信息，但不包括财务报表和我们的审计报告。</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我们对财务报表发表的审计意见</w:t>
      </w:r>
      <w:proofErr w:type="gramStart"/>
      <w:r w:rsidRPr="0095463F">
        <w:rPr>
          <w:rFonts w:cs="Times New Roman" w:hint="eastAsia"/>
          <w:sz w:val="21"/>
          <w:szCs w:val="21"/>
        </w:rPr>
        <w:t>不</w:t>
      </w:r>
      <w:proofErr w:type="gramEnd"/>
      <w:r w:rsidRPr="0095463F">
        <w:rPr>
          <w:rFonts w:cs="Times New Roman" w:hint="eastAsia"/>
          <w:sz w:val="21"/>
          <w:szCs w:val="21"/>
        </w:rPr>
        <w:t>涵盖其他信息，我们也不对其他信息发表任何形式的</w:t>
      </w:r>
      <w:proofErr w:type="gramStart"/>
      <w:r w:rsidRPr="0095463F">
        <w:rPr>
          <w:rFonts w:cs="Times New Roman" w:hint="eastAsia"/>
          <w:sz w:val="21"/>
          <w:szCs w:val="21"/>
        </w:rPr>
        <w:t>鉴证</w:t>
      </w:r>
      <w:proofErr w:type="gramEnd"/>
      <w:r w:rsidRPr="0095463F">
        <w:rPr>
          <w:rFonts w:cs="Times New Roman" w:hint="eastAsia"/>
          <w:sz w:val="21"/>
          <w:szCs w:val="21"/>
        </w:rPr>
        <w:t>结论。</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结合我们对财务报表的审计，我们的责任是阅读其他信息，在此过程中，考虑其他信息是否与财务报表或我们在审计过程中了解到的情况存在重大不一致或者似乎存在重大错报。</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基于我们已执行的工作，如果我们确定其他信息存在重大错报，我们应当报告该事实。在这方面，我们无任何事项需要报告。</w:t>
      </w:r>
    </w:p>
    <w:p w:rsidR="00A2119D" w:rsidRDefault="007768E2">
      <w:pPr>
        <w:pStyle w:val="a3"/>
        <w:spacing w:before="120" w:beforeAutospacing="0" w:after="0" w:afterAutospacing="0" w:line="360" w:lineRule="auto"/>
        <w:ind w:firstLine="482"/>
        <w:jc w:val="both"/>
        <w:divId w:val="2141071085"/>
        <w:rPr>
          <w:rFonts w:ascii="Times New Roman" w:hAnsi="Times New Roman" w:cs="Times New Roman"/>
          <w:sz w:val="21"/>
          <w:szCs w:val="21"/>
        </w:rPr>
      </w:pPr>
      <w:r>
        <w:rPr>
          <w:rStyle w:val="a4"/>
          <w:rFonts w:cs="Times New Roman" w:hint="eastAsia"/>
        </w:rPr>
        <w:t>5</w:t>
      </w:r>
      <w:r w:rsidR="00A2119D">
        <w:rPr>
          <w:rStyle w:val="a4"/>
          <w:rFonts w:cs="Times New Roman" w:hint="eastAsia"/>
        </w:rPr>
        <w:t>、管理层和治理层对财务报表的责任</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管理</w:t>
      </w:r>
      <w:proofErr w:type="gramStart"/>
      <w:r w:rsidRPr="0095463F">
        <w:rPr>
          <w:rFonts w:cs="Times New Roman" w:hint="eastAsia"/>
          <w:sz w:val="21"/>
          <w:szCs w:val="21"/>
        </w:rPr>
        <w:t>层负责</w:t>
      </w:r>
      <w:proofErr w:type="gramEnd"/>
      <w:r w:rsidRPr="0095463F">
        <w:rPr>
          <w:rFonts w:cs="Times New Roman" w:hint="eastAsia"/>
          <w:sz w:val="21"/>
          <w:szCs w:val="21"/>
        </w:rPr>
        <w:t>按照企业会计准则的规定编制财务报表，使其实现公允反映，并设计、执行和维护必要的内部控制，以使财务报表不存在由于舞弊或错误导致的重大错报。</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在编制财务报表时，管理</w:t>
      </w:r>
      <w:proofErr w:type="gramStart"/>
      <w:r w:rsidRPr="0095463F">
        <w:rPr>
          <w:rFonts w:cs="Times New Roman" w:hint="eastAsia"/>
          <w:sz w:val="21"/>
          <w:szCs w:val="21"/>
        </w:rPr>
        <w:t>层负责</w:t>
      </w:r>
      <w:proofErr w:type="gramEnd"/>
      <w:r w:rsidRPr="0095463F">
        <w:rPr>
          <w:rFonts w:cs="Times New Roman" w:hint="eastAsia"/>
          <w:sz w:val="21"/>
          <w:szCs w:val="21"/>
        </w:rPr>
        <w:t>评估甘化科工的持续经营能力，披露与持续经营相关的事项（如适用），并运用持续经营假设，除非管理</w:t>
      </w:r>
      <w:proofErr w:type="gramStart"/>
      <w:r w:rsidRPr="0095463F">
        <w:rPr>
          <w:rFonts w:cs="Times New Roman" w:hint="eastAsia"/>
          <w:sz w:val="21"/>
          <w:szCs w:val="21"/>
        </w:rPr>
        <w:t>层计划</w:t>
      </w:r>
      <w:proofErr w:type="gramEnd"/>
      <w:r w:rsidRPr="0095463F">
        <w:rPr>
          <w:rFonts w:cs="Times New Roman" w:hint="eastAsia"/>
          <w:sz w:val="21"/>
          <w:szCs w:val="21"/>
        </w:rPr>
        <w:t>清算甘化科工、终止运营或别无其他现实的选择。</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治理</w:t>
      </w:r>
      <w:proofErr w:type="gramStart"/>
      <w:r w:rsidRPr="0095463F">
        <w:rPr>
          <w:rFonts w:cs="Times New Roman" w:hint="eastAsia"/>
          <w:sz w:val="21"/>
          <w:szCs w:val="21"/>
        </w:rPr>
        <w:t>层负责</w:t>
      </w:r>
      <w:proofErr w:type="gramEnd"/>
      <w:r w:rsidRPr="0095463F">
        <w:rPr>
          <w:rFonts w:cs="Times New Roman" w:hint="eastAsia"/>
          <w:sz w:val="21"/>
          <w:szCs w:val="21"/>
        </w:rPr>
        <w:t>监督甘化科工的财务报告过程。</w:t>
      </w:r>
    </w:p>
    <w:p w:rsidR="00A2119D" w:rsidRDefault="007768E2">
      <w:pPr>
        <w:pStyle w:val="a3"/>
        <w:spacing w:before="120" w:beforeAutospacing="0" w:after="0" w:afterAutospacing="0" w:line="360" w:lineRule="auto"/>
        <w:ind w:firstLine="482"/>
        <w:jc w:val="both"/>
        <w:divId w:val="2141071085"/>
        <w:rPr>
          <w:rFonts w:ascii="Times New Roman" w:hAnsi="Times New Roman" w:cs="Times New Roman"/>
          <w:sz w:val="21"/>
          <w:szCs w:val="21"/>
        </w:rPr>
      </w:pPr>
      <w:r>
        <w:rPr>
          <w:rStyle w:val="a4"/>
          <w:rFonts w:cs="Times New Roman" w:hint="eastAsia"/>
        </w:rPr>
        <w:t>6</w:t>
      </w:r>
      <w:r w:rsidR="00A2119D">
        <w:rPr>
          <w:rStyle w:val="a4"/>
          <w:rFonts w:cs="Times New Roman" w:hint="eastAsia"/>
        </w:rPr>
        <w:t>、注册会计师对财务报表审计的责任</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95463F">
        <w:rPr>
          <w:rFonts w:cs="Times New Roman" w:hint="eastAsia"/>
          <w:sz w:val="21"/>
          <w:szCs w:val="21"/>
        </w:rPr>
        <w:t>报存在</w:t>
      </w:r>
      <w:proofErr w:type="gramEnd"/>
      <w:r w:rsidRPr="0095463F">
        <w:rPr>
          <w:rFonts w:cs="Times New Roman" w:hint="eastAsia"/>
          <w:sz w:val="21"/>
          <w:szCs w:val="21"/>
        </w:rPr>
        <w:t>时总能发现。错报可能由于舞弊或错误导致，如果合理预期错报单独或汇总起来可能影响财务报表使用者依据财务报表</w:t>
      </w:r>
      <w:proofErr w:type="gramStart"/>
      <w:r w:rsidRPr="0095463F">
        <w:rPr>
          <w:rFonts w:cs="Times New Roman" w:hint="eastAsia"/>
          <w:sz w:val="21"/>
          <w:szCs w:val="21"/>
        </w:rPr>
        <w:t>作出</w:t>
      </w:r>
      <w:proofErr w:type="gramEnd"/>
      <w:r w:rsidRPr="0095463F">
        <w:rPr>
          <w:rFonts w:cs="Times New Roman" w:hint="eastAsia"/>
          <w:sz w:val="21"/>
          <w:szCs w:val="21"/>
        </w:rPr>
        <w:t>的经济决策，则通常认为错报是重大的。</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在按照审计准则执行审计工作的过程中，我们运用职业判断，并保持职业怀疑。同时，我们也执行以下工作：</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（2）了解与审计相关的内部控制，以设计恰当的审计程序。</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lastRenderedPageBreak/>
        <w:t>（3）评价管理层选用会计政策的恰当性和</w:t>
      </w:r>
      <w:proofErr w:type="gramStart"/>
      <w:r w:rsidRPr="0095463F">
        <w:rPr>
          <w:rFonts w:cs="Times New Roman" w:hint="eastAsia"/>
          <w:sz w:val="21"/>
          <w:szCs w:val="21"/>
        </w:rPr>
        <w:t>作出</w:t>
      </w:r>
      <w:proofErr w:type="gramEnd"/>
      <w:r w:rsidRPr="0095463F">
        <w:rPr>
          <w:rFonts w:cs="Times New Roman" w:hint="eastAsia"/>
          <w:sz w:val="21"/>
          <w:szCs w:val="21"/>
        </w:rPr>
        <w:t>会计估计及相关披露的合理性。</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4）对管理层使用持续经营假设的恰当性得出结论。同时，根据获取的审计证据，就可能导致对甘化科工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甘化科工不能持续经营。</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（5）评价财务报表的总</w:t>
      </w:r>
      <w:proofErr w:type="gramStart"/>
      <w:r w:rsidRPr="0095463F">
        <w:rPr>
          <w:rFonts w:cs="Times New Roman" w:hint="eastAsia"/>
          <w:sz w:val="21"/>
          <w:szCs w:val="21"/>
        </w:rPr>
        <w:t>体列</w:t>
      </w:r>
      <w:proofErr w:type="gramEnd"/>
      <w:r w:rsidRPr="0095463F">
        <w:rPr>
          <w:rFonts w:cs="Times New Roman" w:hint="eastAsia"/>
          <w:sz w:val="21"/>
          <w:szCs w:val="21"/>
        </w:rPr>
        <w:t>报、结构和内容，并评价财务报表是否公允反映相关交易和事项。</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（6）就甘化科工中实体或业务活动的财务信息获取充分、适当的审计证据，以对财务报表发表审计意见。我们负责指导、监督和执行集团审计，并对审计意见承担全部责任。</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我们与治理层就计划的审计范围、时间安排和重大审计发现等事项进行沟通，包括沟通我们在审计中识别出的值得关注的内部控制缺陷。</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我们还就已遵守与独立性相关的职业道德要求向治理层提供声明，并与治理层沟通可能被</w:t>
      </w:r>
      <w:proofErr w:type="gramStart"/>
      <w:r w:rsidRPr="0095463F">
        <w:rPr>
          <w:rFonts w:cs="Times New Roman" w:hint="eastAsia"/>
          <w:sz w:val="21"/>
          <w:szCs w:val="21"/>
        </w:rPr>
        <w:t>合理认为</w:t>
      </w:r>
      <w:proofErr w:type="gramEnd"/>
      <w:r w:rsidRPr="0095463F">
        <w:rPr>
          <w:rFonts w:cs="Times New Roman" w:hint="eastAsia"/>
          <w:sz w:val="21"/>
          <w:szCs w:val="21"/>
        </w:rPr>
        <w:t>影响我们独立性的所有关系和其他事项，以及相关的防范措施（如适用）。</w:t>
      </w:r>
    </w:p>
    <w:p w:rsidR="00A2119D" w:rsidRPr="0095463F" w:rsidRDefault="00A2119D" w:rsidP="0095463F">
      <w:pPr>
        <w:pStyle w:val="a3"/>
        <w:spacing w:before="0" w:beforeAutospacing="0" w:after="0" w:afterAutospacing="0" w:line="360" w:lineRule="auto"/>
        <w:ind w:firstLine="482"/>
        <w:jc w:val="both"/>
        <w:divId w:val="2141071085"/>
        <w:rPr>
          <w:rFonts w:cs="Times New Roman"/>
          <w:sz w:val="21"/>
          <w:szCs w:val="21"/>
        </w:rPr>
      </w:pPr>
      <w:r w:rsidRPr="0095463F">
        <w:rPr>
          <w:rFonts w:cs="Times New Roman" w:hint="eastAsia"/>
          <w:sz w:val="21"/>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A2119D" w:rsidRDefault="00A2119D">
      <w:pPr>
        <w:pStyle w:val="a3"/>
        <w:spacing w:before="0" w:beforeAutospacing="0" w:after="120" w:afterAutospacing="0" w:line="360" w:lineRule="auto"/>
        <w:ind w:firstLine="480"/>
        <w:jc w:val="both"/>
        <w:divId w:val="2141071085"/>
        <w:rPr>
          <w:rFonts w:ascii="Times New Roman" w:hAnsi="Times New Roman" w:cs="Times New Roman"/>
          <w:sz w:val="21"/>
          <w:szCs w:val="21"/>
        </w:rPr>
      </w:pPr>
      <w:r w:rsidRPr="0095463F">
        <w:rPr>
          <w:rFonts w:cs="Times New Roman" w:hint="eastAsia"/>
          <w:sz w:val="21"/>
          <w:szCs w:val="21"/>
        </w:rPr>
        <w:t> </w:t>
      </w:r>
    </w:p>
    <w:tbl>
      <w:tblPr>
        <w:tblW w:w="8613" w:type="dxa"/>
        <w:tblCellMar>
          <w:left w:w="0" w:type="dxa"/>
          <w:right w:w="0" w:type="dxa"/>
        </w:tblCellMar>
        <w:tblLook w:val="04A0" w:firstRow="1" w:lastRow="0" w:firstColumn="1" w:lastColumn="0" w:noHBand="0" w:noVBand="1"/>
      </w:tblPr>
      <w:tblGrid>
        <w:gridCol w:w="3681"/>
        <w:gridCol w:w="1596"/>
        <w:gridCol w:w="3336"/>
      </w:tblGrid>
      <w:tr w:rsidR="00A2119D" w:rsidTr="0095463F">
        <w:trPr>
          <w:divId w:val="2141071085"/>
          <w:trHeight w:val="1293"/>
        </w:trPr>
        <w:tc>
          <w:tcPr>
            <w:tcW w:w="3681" w:type="dxa"/>
            <w:tcMar>
              <w:top w:w="0" w:type="dxa"/>
              <w:left w:w="108" w:type="dxa"/>
              <w:bottom w:w="0" w:type="dxa"/>
              <w:right w:w="108" w:type="dxa"/>
            </w:tcMar>
            <w:hideMark/>
          </w:tcPr>
          <w:p w:rsidR="00A2119D" w:rsidRDefault="00A2119D">
            <w:pPr>
              <w:snapToGrid w:val="0"/>
              <w:spacing w:before="100" w:beforeAutospacing="1" w:after="100" w:afterAutospacing="1"/>
              <w:jc w:val="center"/>
              <w:rPr>
                <w:rFonts w:ascii="宋体" w:hAnsi="宋体" w:cs="宋体"/>
                <w:sz w:val="24"/>
                <w:szCs w:val="24"/>
              </w:rPr>
            </w:pPr>
            <w:r>
              <w:rPr>
                <w:rStyle w:val="a4"/>
                <w:rFonts w:hint="eastAsia"/>
                <w:snapToGrid w:val="0"/>
              </w:rPr>
              <w:t>广东司农会计师事务所</w:t>
            </w:r>
          </w:p>
          <w:p w:rsidR="00A2119D" w:rsidRDefault="00A2119D">
            <w:pPr>
              <w:snapToGrid w:val="0"/>
              <w:spacing w:before="100" w:beforeAutospacing="1" w:after="100" w:afterAutospacing="1"/>
              <w:jc w:val="center"/>
            </w:pPr>
            <w:r>
              <w:rPr>
                <w:rStyle w:val="a4"/>
                <w:rFonts w:hint="eastAsia"/>
                <w:snapToGrid w:val="0"/>
              </w:rPr>
              <w:t>（特殊普通合伙）</w:t>
            </w:r>
          </w:p>
        </w:tc>
        <w:tc>
          <w:tcPr>
            <w:tcW w:w="1596" w:type="dxa"/>
            <w:tcMar>
              <w:top w:w="0" w:type="dxa"/>
              <w:left w:w="108" w:type="dxa"/>
              <w:bottom w:w="0" w:type="dxa"/>
              <w:right w:w="108" w:type="dxa"/>
            </w:tcMar>
            <w:hideMark/>
          </w:tcPr>
          <w:p w:rsidR="00A2119D" w:rsidRDefault="00A2119D">
            <w:pPr>
              <w:snapToGrid w:val="0"/>
              <w:spacing w:before="100" w:beforeAutospacing="1" w:after="100" w:afterAutospacing="1"/>
              <w:jc w:val="center"/>
            </w:pPr>
            <w:r>
              <w:rPr>
                <w:rFonts w:hint="eastAsia"/>
                <w:snapToGrid w:val="0"/>
              </w:rPr>
              <w:t> </w:t>
            </w:r>
          </w:p>
        </w:tc>
        <w:tc>
          <w:tcPr>
            <w:tcW w:w="3336" w:type="dxa"/>
            <w:tcMar>
              <w:top w:w="0" w:type="dxa"/>
              <w:left w:w="108" w:type="dxa"/>
              <w:bottom w:w="0" w:type="dxa"/>
              <w:right w:w="108" w:type="dxa"/>
            </w:tcMar>
            <w:hideMark/>
          </w:tcPr>
          <w:p w:rsidR="00A2119D" w:rsidRDefault="00A2119D">
            <w:pPr>
              <w:snapToGrid w:val="0"/>
              <w:spacing w:before="100" w:beforeAutospacing="1" w:after="100" w:afterAutospacing="1"/>
            </w:pPr>
            <w:r>
              <w:rPr>
                <w:rStyle w:val="a4"/>
                <w:rFonts w:hint="eastAsia"/>
                <w:snapToGrid w:val="0"/>
              </w:rPr>
              <w:t>中国注册会计师：刘火旺</w:t>
            </w:r>
          </w:p>
          <w:p w:rsidR="00A2119D" w:rsidRDefault="00A2119D">
            <w:pPr>
              <w:snapToGrid w:val="0"/>
              <w:spacing w:before="100" w:beforeAutospacing="1" w:after="100" w:afterAutospacing="1"/>
            </w:pPr>
            <w:r>
              <w:rPr>
                <w:rStyle w:val="a4"/>
                <w:rFonts w:hint="eastAsia"/>
                <w:snapToGrid w:val="0"/>
              </w:rPr>
              <w:t>（项目合伙人）</w:t>
            </w:r>
          </w:p>
        </w:tc>
      </w:tr>
      <w:tr w:rsidR="00A2119D" w:rsidTr="0095463F">
        <w:trPr>
          <w:divId w:val="2141071085"/>
          <w:trHeight w:val="572"/>
        </w:trPr>
        <w:tc>
          <w:tcPr>
            <w:tcW w:w="3681" w:type="dxa"/>
            <w:tcMar>
              <w:top w:w="0" w:type="dxa"/>
              <w:left w:w="108" w:type="dxa"/>
              <w:bottom w:w="0" w:type="dxa"/>
              <w:right w:w="108" w:type="dxa"/>
            </w:tcMar>
            <w:vAlign w:val="center"/>
            <w:hideMark/>
          </w:tcPr>
          <w:p w:rsidR="00A2119D" w:rsidRDefault="00A2119D">
            <w:pPr>
              <w:snapToGrid w:val="0"/>
              <w:spacing w:before="100" w:beforeAutospacing="1" w:after="100" w:afterAutospacing="1"/>
              <w:ind w:left="-126"/>
              <w:jc w:val="center"/>
            </w:pPr>
            <w:r>
              <w:rPr>
                <w:rStyle w:val="a4"/>
                <w:rFonts w:hint="eastAsia"/>
                <w:snapToGrid w:val="0"/>
              </w:rPr>
              <w:t> </w:t>
            </w:r>
          </w:p>
        </w:tc>
        <w:tc>
          <w:tcPr>
            <w:tcW w:w="1596" w:type="dxa"/>
            <w:tcMar>
              <w:top w:w="0" w:type="dxa"/>
              <w:left w:w="108" w:type="dxa"/>
              <w:bottom w:w="0" w:type="dxa"/>
              <w:right w:w="108" w:type="dxa"/>
            </w:tcMar>
            <w:vAlign w:val="center"/>
            <w:hideMark/>
          </w:tcPr>
          <w:p w:rsidR="00A2119D" w:rsidRDefault="00A2119D">
            <w:pPr>
              <w:snapToGrid w:val="0"/>
              <w:spacing w:before="100" w:beforeAutospacing="1" w:after="100" w:afterAutospacing="1"/>
            </w:pPr>
            <w:r>
              <w:rPr>
                <w:rFonts w:hint="eastAsia"/>
                <w:snapToGrid w:val="0"/>
              </w:rPr>
              <w:t> </w:t>
            </w:r>
          </w:p>
        </w:tc>
        <w:tc>
          <w:tcPr>
            <w:tcW w:w="3336" w:type="dxa"/>
            <w:tcMar>
              <w:top w:w="0" w:type="dxa"/>
              <w:left w:w="108" w:type="dxa"/>
              <w:bottom w:w="0" w:type="dxa"/>
              <w:right w:w="108" w:type="dxa"/>
            </w:tcMar>
            <w:vAlign w:val="center"/>
            <w:hideMark/>
          </w:tcPr>
          <w:p w:rsidR="00A2119D" w:rsidRDefault="00A2119D">
            <w:pPr>
              <w:snapToGrid w:val="0"/>
              <w:spacing w:before="100" w:beforeAutospacing="1" w:after="100" w:afterAutospacing="1"/>
            </w:pPr>
            <w:r>
              <w:rPr>
                <w:rStyle w:val="a4"/>
                <w:rFonts w:hint="eastAsia"/>
                <w:snapToGrid w:val="0"/>
              </w:rPr>
              <w:t>中国注册会计师：梁剑云</w:t>
            </w:r>
          </w:p>
        </w:tc>
      </w:tr>
      <w:tr w:rsidR="00A2119D" w:rsidTr="0095463F">
        <w:trPr>
          <w:divId w:val="2141071085"/>
          <w:trHeight w:val="1091"/>
        </w:trPr>
        <w:tc>
          <w:tcPr>
            <w:tcW w:w="3681" w:type="dxa"/>
            <w:tcMar>
              <w:top w:w="0" w:type="dxa"/>
              <w:left w:w="108" w:type="dxa"/>
              <w:bottom w:w="0" w:type="dxa"/>
              <w:right w:w="108" w:type="dxa"/>
            </w:tcMar>
            <w:vAlign w:val="bottom"/>
            <w:hideMark/>
          </w:tcPr>
          <w:p w:rsidR="00A2119D" w:rsidRDefault="00A2119D">
            <w:pPr>
              <w:snapToGrid w:val="0"/>
              <w:spacing w:before="100" w:beforeAutospacing="1" w:after="100" w:afterAutospacing="1"/>
              <w:jc w:val="center"/>
            </w:pPr>
            <w:r>
              <w:rPr>
                <w:rStyle w:val="a4"/>
                <w:rFonts w:hint="eastAsia"/>
                <w:snapToGrid w:val="0"/>
              </w:rPr>
              <w:t>中国 广州</w:t>
            </w:r>
          </w:p>
        </w:tc>
        <w:tc>
          <w:tcPr>
            <w:tcW w:w="1596" w:type="dxa"/>
            <w:tcMar>
              <w:top w:w="0" w:type="dxa"/>
              <w:left w:w="108" w:type="dxa"/>
              <w:bottom w:w="0" w:type="dxa"/>
              <w:right w:w="108" w:type="dxa"/>
            </w:tcMar>
            <w:vAlign w:val="center"/>
            <w:hideMark/>
          </w:tcPr>
          <w:p w:rsidR="00A2119D" w:rsidRDefault="00A2119D">
            <w:pPr>
              <w:snapToGrid w:val="0"/>
              <w:spacing w:before="100" w:beforeAutospacing="1" w:after="100" w:afterAutospacing="1"/>
            </w:pPr>
            <w:r>
              <w:rPr>
                <w:rFonts w:hint="eastAsia"/>
                <w:snapToGrid w:val="0"/>
              </w:rPr>
              <w:t> </w:t>
            </w:r>
          </w:p>
        </w:tc>
        <w:tc>
          <w:tcPr>
            <w:tcW w:w="3336" w:type="dxa"/>
            <w:tcMar>
              <w:top w:w="0" w:type="dxa"/>
              <w:left w:w="108" w:type="dxa"/>
              <w:bottom w:w="0" w:type="dxa"/>
              <w:right w:w="108" w:type="dxa"/>
            </w:tcMar>
            <w:vAlign w:val="bottom"/>
            <w:hideMark/>
          </w:tcPr>
          <w:p w:rsidR="00A2119D" w:rsidRDefault="00A2119D">
            <w:pPr>
              <w:snapToGrid w:val="0"/>
              <w:spacing w:before="100" w:beforeAutospacing="1" w:after="100" w:afterAutospacing="1"/>
            </w:pPr>
            <w:r>
              <w:rPr>
                <w:rStyle w:val="a4"/>
                <w:rFonts w:hint="eastAsia"/>
                <w:snapToGrid w:val="0"/>
              </w:rPr>
              <w:t>二○二五年四月十</w:t>
            </w:r>
            <w:r w:rsidR="00953733">
              <w:rPr>
                <w:rStyle w:val="a4"/>
                <w:rFonts w:hint="eastAsia"/>
                <w:snapToGrid w:val="0"/>
              </w:rPr>
              <w:t>七</w:t>
            </w:r>
            <w:r>
              <w:rPr>
                <w:rStyle w:val="a4"/>
                <w:rFonts w:hint="eastAsia"/>
                <w:snapToGrid w:val="0"/>
              </w:rPr>
              <w:t>日</w:t>
            </w:r>
          </w:p>
        </w:tc>
      </w:tr>
    </w:tbl>
    <w:p w:rsidR="00A2119D" w:rsidRDefault="00A2119D">
      <w:pPr>
        <w:divId w:val="2141071085"/>
      </w:pPr>
    </w:p>
    <w:p w:rsidR="00A27D66" w:rsidRDefault="00A2119D">
      <w:pPr>
        <w:pStyle w:val="2"/>
        <w:spacing w:before="300" w:after="300" w:line="320" w:lineRule="exact"/>
        <w:rPr>
          <w:rFonts w:ascii="宋体" w:eastAsia="宋体" w:hAnsi="宋体" w:cs="宋体"/>
          <w:b/>
          <w:bCs/>
          <w:sz w:val="24"/>
          <w:szCs w:val="24"/>
        </w:rPr>
      </w:pPr>
      <w:bookmarkStart w:id="153" w:name="_Toc989038"/>
      <w:r>
        <w:rPr>
          <w:rFonts w:ascii="宋体" w:eastAsia="宋体" w:hAnsi="宋体" w:cs="宋体"/>
          <w:b/>
          <w:bCs/>
          <w:sz w:val="24"/>
          <w:szCs w:val="24"/>
        </w:rPr>
        <w:t>二、财务报表</w:t>
      </w:r>
      <w:bookmarkEnd w:id="153"/>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财务附注中报表的单位为：元</w:t>
      </w:r>
    </w:p>
    <w:p w:rsidR="00A27D66" w:rsidRDefault="00A2119D">
      <w:pPr>
        <w:pStyle w:val="3"/>
        <w:spacing w:line="280" w:lineRule="exact"/>
        <w:jc w:val="left"/>
        <w:rPr>
          <w:rFonts w:ascii="宋体" w:hAnsi="宋体" w:cs="宋体"/>
          <w:b/>
          <w:bCs/>
        </w:rPr>
      </w:pPr>
      <w:bookmarkStart w:id="154" w:name="_Toc989039"/>
      <w:r>
        <w:rPr>
          <w:rFonts w:ascii="宋体" w:hAnsi="宋体" w:cs="宋体"/>
          <w:b/>
          <w:bCs/>
        </w:rPr>
        <w:lastRenderedPageBreak/>
        <w:t>1、合并资产负债表</w:t>
      </w:r>
      <w:bookmarkEnd w:id="154"/>
    </w:p>
    <w:p w:rsidR="00A27D66" w:rsidRDefault="00A2119D">
      <w:pPr>
        <w:spacing w:line="240" w:lineRule="exact"/>
        <w:rPr>
          <w:rFonts w:ascii="宋体" w:eastAsia="宋体" w:hAnsi="宋体" w:cs="宋体"/>
          <w:sz w:val="18"/>
          <w:szCs w:val="18"/>
        </w:rPr>
      </w:pPr>
      <w:r>
        <w:rPr>
          <w:rFonts w:ascii="宋体" w:eastAsia="宋体" w:hAnsi="宋体" w:cs="宋体"/>
          <w:sz w:val="18"/>
          <w:szCs w:val="18"/>
        </w:rPr>
        <w:t>编制单位：广东甘化科工股份有限公司</w:t>
      </w:r>
    </w:p>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2024年12月31日</w:t>
      </w:r>
    </w:p>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131,255,863.36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249,689,720.62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212,691,865.42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175,511,514.25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103,158,129.55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93,190,570.88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224,622,631.64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153,702,930.32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26,322,696.05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1,016,940.95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3,641,228.77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2,747,792.30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177,203,161.42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162,912,360.72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4,677,182.20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583,427.82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10,949,263.22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14,394,544.79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894,522,021.63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853,749,802.65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4,677,182.20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873970">
            <w:pPr>
              <w:spacing w:line="240" w:lineRule="exact"/>
              <w:jc w:val="right"/>
              <w:rPr>
                <w:rFonts w:ascii="宋体" w:eastAsia="宋体" w:hAnsi="宋体" w:cs="宋体"/>
                <w:sz w:val="18"/>
                <w:szCs w:val="18"/>
              </w:rPr>
            </w:pPr>
            <w:r w:rsidRPr="00873970">
              <w:rPr>
                <w:rFonts w:ascii="宋体" w:eastAsia="宋体" w:hAnsi="宋体" w:cs="宋体"/>
                <w:sz w:val="18"/>
                <w:szCs w:val="18"/>
              </w:rPr>
              <w:t>219,987,262.51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238,121,398.76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58,611,906.40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57,770,311.20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21,623,145.28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21,857,997.49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62,900,699.99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63,917,992.45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9,209,122.07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3,543,818.56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55,381,253.50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60,325,981.99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12,907,022.39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10,106,119.72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462,364,253.52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462,364,253.52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14,717,691.91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17,869,447.81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30,039,235.38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30,857,043.73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2,077,279.20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16,563,400.00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873970">
            <w:pPr>
              <w:spacing w:line="240" w:lineRule="exact"/>
              <w:jc w:val="right"/>
              <w:rPr>
                <w:rFonts w:ascii="宋体" w:eastAsia="宋体" w:hAnsi="宋体" w:cs="宋体"/>
                <w:sz w:val="18"/>
                <w:szCs w:val="18"/>
              </w:rPr>
            </w:pPr>
            <w:r w:rsidRPr="00873970">
              <w:rPr>
                <w:rFonts w:ascii="宋体" w:eastAsia="宋体" w:hAnsi="宋体" w:cs="宋体"/>
                <w:sz w:val="18"/>
                <w:szCs w:val="18"/>
              </w:rPr>
              <w:t>949,818,872.15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987,974,947.43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873970">
            <w:pPr>
              <w:spacing w:line="240" w:lineRule="exact"/>
              <w:jc w:val="right"/>
              <w:rPr>
                <w:rFonts w:ascii="宋体" w:eastAsia="宋体" w:hAnsi="宋体" w:cs="宋体"/>
                <w:sz w:val="18"/>
                <w:szCs w:val="18"/>
              </w:rPr>
            </w:pPr>
            <w:r w:rsidRPr="00873970">
              <w:rPr>
                <w:rFonts w:ascii="宋体" w:eastAsia="宋体" w:hAnsi="宋体" w:cs="宋体"/>
                <w:sz w:val="18"/>
                <w:szCs w:val="18"/>
              </w:rPr>
              <w:t>1,844,340,893.78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1,841,724,750.08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22,530,973.33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22,631,457.66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37,261,823.72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32,689,913.57</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3,359,350.06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626,544.25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29,638,468.50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34,553,391.17</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5,791,248.13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5,688,698.75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873970">
            <w:pPr>
              <w:spacing w:line="240" w:lineRule="exact"/>
              <w:jc w:val="right"/>
              <w:rPr>
                <w:rFonts w:ascii="宋体" w:eastAsia="宋体" w:hAnsi="宋体" w:cs="宋体"/>
                <w:sz w:val="18"/>
                <w:szCs w:val="18"/>
              </w:rPr>
            </w:pPr>
            <w:r w:rsidRPr="00873970">
              <w:rPr>
                <w:rFonts w:ascii="宋体" w:eastAsia="宋体" w:hAnsi="宋体" w:cs="宋体"/>
                <w:sz w:val="18"/>
                <w:szCs w:val="18"/>
              </w:rPr>
              <w:t>16,940,485.10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21,350,552.90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377,815.97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717,270.70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4,529,626.98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4,247,037.20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527,122.62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84,339.51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873970">
            <w:pPr>
              <w:spacing w:line="240" w:lineRule="exact"/>
              <w:jc w:val="right"/>
              <w:rPr>
                <w:rFonts w:ascii="宋体" w:eastAsia="宋体" w:hAnsi="宋体" w:cs="宋体"/>
                <w:sz w:val="18"/>
                <w:szCs w:val="18"/>
              </w:rPr>
            </w:pPr>
            <w:r w:rsidRPr="00873970">
              <w:rPr>
                <w:rFonts w:ascii="宋体" w:eastAsia="宋体" w:hAnsi="宋体" w:cs="宋体"/>
                <w:sz w:val="18"/>
                <w:szCs w:val="18"/>
              </w:rPr>
              <w:t>130,579,098.44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121,871,935.01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58,614,583.71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62,698,606.26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2,180,585.32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19,720,387.44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19,276,006.31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3,031,369.99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3,103,755.53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81,366,341.14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87,258,953.42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95243E">
            <w:pPr>
              <w:spacing w:line="240" w:lineRule="exact"/>
              <w:jc w:val="right"/>
              <w:rPr>
                <w:rFonts w:ascii="宋体" w:eastAsia="宋体" w:hAnsi="宋体" w:cs="宋体"/>
                <w:sz w:val="18"/>
                <w:szCs w:val="18"/>
              </w:rPr>
            </w:pPr>
            <w:r w:rsidRPr="0095243E">
              <w:rPr>
                <w:rFonts w:ascii="宋体" w:eastAsia="宋体" w:hAnsi="宋体" w:cs="宋体"/>
                <w:sz w:val="18"/>
                <w:szCs w:val="18"/>
              </w:rPr>
              <w:t>211,945,439.58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209,130,888.43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436,418,214.00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442,631,734.00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709,479,348.07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760,626,848.99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30,650,554.97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27,194,333.40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6,613,980.47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5,897,912.92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361358">
            <w:pPr>
              <w:spacing w:line="240" w:lineRule="exact"/>
              <w:jc w:val="right"/>
              <w:rPr>
                <w:rFonts w:ascii="宋体" w:eastAsia="宋体" w:hAnsi="宋体" w:cs="宋体"/>
                <w:sz w:val="18"/>
                <w:szCs w:val="18"/>
              </w:rPr>
            </w:pPr>
            <w:r w:rsidRPr="00361358">
              <w:rPr>
                <w:rFonts w:ascii="宋体" w:eastAsia="宋体" w:hAnsi="宋体" w:cs="宋体"/>
                <w:sz w:val="18"/>
                <w:szCs w:val="18"/>
              </w:rPr>
              <w:t>92,787,529.06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361358">
            <w:pPr>
              <w:spacing w:line="240" w:lineRule="exact"/>
              <w:jc w:val="right"/>
              <w:rPr>
                <w:rFonts w:ascii="宋体" w:eastAsia="宋体" w:hAnsi="宋体" w:cs="宋体"/>
                <w:sz w:val="18"/>
                <w:szCs w:val="18"/>
              </w:rPr>
            </w:pPr>
            <w:r w:rsidRPr="00361358">
              <w:rPr>
                <w:rFonts w:ascii="宋体" w:eastAsia="宋体" w:hAnsi="宋体" w:cs="宋体"/>
                <w:sz w:val="18"/>
                <w:szCs w:val="18"/>
              </w:rPr>
              <w:t>363,009,461.01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339,678,471.67</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361358">
            <w:pPr>
              <w:spacing w:line="240" w:lineRule="exact"/>
              <w:jc w:val="right"/>
              <w:rPr>
                <w:rFonts w:ascii="宋体" w:eastAsia="宋体" w:hAnsi="宋体" w:cs="宋体"/>
                <w:sz w:val="18"/>
                <w:szCs w:val="18"/>
              </w:rPr>
            </w:pPr>
            <w:r w:rsidRPr="00361358">
              <w:rPr>
                <w:rFonts w:ascii="宋体" w:eastAsia="宋体" w:hAnsi="宋体" w:cs="宋体"/>
                <w:sz w:val="18"/>
                <w:szCs w:val="18"/>
              </w:rPr>
              <w:t>1,612,340,099.58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1,609,597,227.59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20,055,354.62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22,996,634.06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361358">
            <w:pPr>
              <w:spacing w:line="240" w:lineRule="exact"/>
              <w:jc w:val="right"/>
              <w:rPr>
                <w:rFonts w:ascii="宋体" w:eastAsia="宋体" w:hAnsi="宋体" w:cs="宋体"/>
                <w:sz w:val="18"/>
                <w:szCs w:val="18"/>
              </w:rPr>
            </w:pPr>
            <w:r w:rsidRPr="00361358">
              <w:rPr>
                <w:rFonts w:ascii="宋体" w:eastAsia="宋体" w:hAnsi="宋体" w:cs="宋体"/>
                <w:sz w:val="18"/>
                <w:szCs w:val="18"/>
              </w:rPr>
              <w:t>1,632,395,454.20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1,632,593,861.65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361358">
            <w:pPr>
              <w:spacing w:line="240" w:lineRule="exact"/>
              <w:jc w:val="right"/>
              <w:rPr>
                <w:rFonts w:ascii="宋体" w:eastAsia="宋体" w:hAnsi="宋体" w:cs="宋体"/>
                <w:sz w:val="18"/>
                <w:szCs w:val="18"/>
              </w:rPr>
            </w:pPr>
            <w:r w:rsidRPr="00361358">
              <w:rPr>
                <w:rFonts w:ascii="宋体" w:eastAsia="宋体" w:hAnsi="宋体" w:cs="宋体"/>
                <w:sz w:val="18"/>
                <w:szCs w:val="18"/>
              </w:rPr>
              <w:t>1,844,340,893.78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1,841,724,750.08</w:t>
            </w:r>
          </w:p>
        </w:tc>
      </w:tr>
    </w:tbl>
    <w:p w:rsidR="00A27D66" w:rsidRDefault="00A2119D">
      <w:pPr>
        <w:spacing w:line="240" w:lineRule="exact"/>
        <w:rPr>
          <w:rFonts w:ascii="宋体" w:eastAsia="宋体" w:hAnsi="宋体" w:cs="宋体"/>
          <w:sz w:val="18"/>
          <w:szCs w:val="18"/>
        </w:rPr>
      </w:pPr>
      <w:r>
        <w:rPr>
          <w:rFonts w:ascii="宋体" w:eastAsia="宋体" w:hAnsi="宋体" w:cs="宋体"/>
          <w:sz w:val="18"/>
          <w:szCs w:val="18"/>
        </w:rPr>
        <w:t xml:space="preserve">法定代表人：李忠  </w:t>
      </w:r>
      <w:r w:rsidR="0095463F">
        <w:rPr>
          <w:rFonts w:ascii="宋体" w:eastAsia="宋体" w:hAnsi="宋体" w:cs="宋体"/>
          <w:sz w:val="18"/>
          <w:szCs w:val="18"/>
        </w:rPr>
        <w:t xml:space="preserve">                  </w:t>
      </w:r>
      <w:r>
        <w:rPr>
          <w:rFonts w:ascii="宋体" w:eastAsia="宋体" w:hAnsi="宋体" w:cs="宋体"/>
          <w:sz w:val="18"/>
          <w:szCs w:val="18"/>
        </w:rPr>
        <w:t xml:space="preserve">  主管会计工作负责人：彭占凯    </w:t>
      </w:r>
      <w:r w:rsidR="0095463F">
        <w:rPr>
          <w:rFonts w:ascii="宋体" w:eastAsia="宋体" w:hAnsi="宋体" w:cs="宋体"/>
          <w:sz w:val="18"/>
          <w:szCs w:val="18"/>
        </w:rPr>
        <w:t xml:space="preserve">             </w:t>
      </w:r>
      <w:r>
        <w:rPr>
          <w:rFonts w:ascii="宋体" w:eastAsia="宋体" w:hAnsi="宋体" w:cs="宋体"/>
          <w:sz w:val="18"/>
          <w:szCs w:val="18"/>
        </w:rPr>
        <w:t xml:space="preserve">  会计机构负责人：</w:t>
      </w:r>
      <w:proofErr w:type="gramStart"/>
      <w:r>
        <w:rPr>
          <w:rFonts w:ascii="宋体" w:eastAsia="宋体" w:hAnsi="宋体" w:cs="宋体"/>
          <w:sz w:val="18"/>
          <w:szCs w:val="18"/>
        </w:rPr>
        <w:t>徐佳君</w:t>
      </w:r>
      <w:proofErr w:type="gramEnd"/>
    </w:p>
    <w:p w:rsidR="00A27D66" w:rsidRDefault="00A2119D">
      <w:pPr>
        <w:pStyle w:val="3"/>
        <w:spacing w:line="280" w:lineRule="exact"/>
        <w:jc w:val="left"/>
        <w:rPr>
          <w:rFonts w:ascii="宋体" w:hAnsi="宋体" w:cs="宋体"/>
          <w:b/>
          <w:bCs/>
        </w:rPr>
      </w:pPr>
      <w:bookmarkStart w:id="155" w:name="_Toc989040"/>
      <w:r>
        <w:rPr>
          <w:rFonts w:ascii="宋体" w:hAnsi="宋体" w:cs="宋体"/>
          <w:b/>
          <w:bCs/>
        </w:rPr>
        <w:t>2、母公司资产负债表</w:t>
      </w:r>
      <w:bookmarkEnd w:id="155"/>
    </w:p>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98,309,833.31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166,486,907.16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125,176,979.94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70,295,693.66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56,301.70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56,301.70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43,421,290.67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34,995,991.70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9,000,000.00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9,000,000.00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4,677,182.20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583,427.82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3,958,342.03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3,839,779.85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275,599,929.85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276,258,101.89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4,677,182.20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F72A3A">
            <w:pPr>
              <w:spacing w:line="240" w:lineRule="exact"/>
              <w:jc w:val="right"/>
              <w:rPr>
                <w:rFonts w:ascii="宋体" w:eastAsia="宋体" w:hAnsi="宋体" w:cs="宋体"/>
                <w:sz w:val="18"/>
                <w:szCs w:val="18"/>
              </w:rPr>
            </w:pPr>
            <w:r w:rsidRPr="00F72A3A">
              <w:rPr>
                <w:rFonts w:ascii="宋体" w:eastAsia="宋体" w:hAnsi="宋体" w:cs="宋体"/>
                <w:sz w:val="18"/>
                <w:szCs w:val="18"/>
              </w:rPr>
              <w:t>1,146,194,402.15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1,156,288,853.10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58,611,906.40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57,770,311.20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21,623,145.28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21,857,997.49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15,827,027.64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16,313,548.11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556,092.26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1,124,390.55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836,085.73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1,463,201.46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15,139,923.63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14,259,663.35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F72A3A">
            <w:pPr>
              <w:spacing w:line="240" w:lineRule="exact"/>
              <w:jc w:val="right"/>
              <w:rPr>
                <w:rFonts w:ascii="宋体" w:eastAsia="宋体" w:hAnsi="宋体" w:cs="宋体"/>
                <w:sz w:val="18"/>
                <w:szCs w:val="18"/>
              </w:rPr>
            </w:pPr>
            <w:r w:rsidRPr="00F72A3A">
              <w:rPr>
                <w:rFonts w:ascii="宋体" w:eastAsia="宋体" w:hAnsi="宋体" w:cs="宋体"/>
                <w:sz w:val="18"/>
                <w:szCs w:val="18"/>
              </w:rPr>
              <w:t>1,258,788,583.09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1,273,755,147.46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F72A3A">
            <w:pPr>
              <w:spacing w:line="240" w:lineRule="exact"/>
              <w:jc w:val="right"/>
              <w:rPr>
                <w:rFonts w:ascii="宋体" w:eastAsia="宋体" w:hAnsi="宋体" w:cs="宋体"/>
                <w:sz w:val="18"/>
                <w:szCs w:val="18"/>
              </w:rPr>
            </w:pPr>
            <w:r w:rsidRPr="00F72A3A">
              <w:rPr>
                <w:rFonts w:ascii="宋体" w:eastAsia="宋体" w:hAnsi="宋体" w:cs="宋体"/>
                <w:sz w:val="18"/>
                <w:szCs w:val="18"/>
              </w:rPr>
              <w:t>1,534,388,512.94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1,550,013,249.35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1,843.00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1,843.00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5,110,319.24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5,861,758.92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1,817,847.16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1,800,939.68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F72A3A">
            <w:pPr>
              <w:spacing w:line="240" w:lineRule="exact"/>
              <w:jc w:val="right"/>
              <w:rPr>
                <w:rFonts w:ascii="宋体" w:eastAsia="宋体" w:hAnsi="宋体" w:cs="宋体"/>
                <w:sz w:val="18"/>
                <w:szCs w:val="18"/>
              </w:rPr>
            </w:pPr>
            <w:r w:rsidRPr="00F72A3A">
              <w:rPr>
                <w:rFonts w:ascii="宋体" w:eastAsia="宋体" w:hAnsi="宋体" w:cs="宋体"/>
                <w:sz w:val="18"/>
                <w:szCs w:val="18"/>
              </w:rPr>
              <w:t>9,090,445.16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18,545,569.15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377,815.97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717,270.70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348,252.11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521,739.45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F72A3A">
            <w:pPr>
              <w:spacing w:line="240" w:lineRule="exact"/>
              <w:jc w:val="right"/>
              <w:rPr>
                <w:rFonts w:ascii="宋体" w:eastAsia="宋体" w:hAnsi="宋体" w:cs="宋体"/>
                <w:sz w:val="18"/>
                <w:szCs w:val="18"/>
              </w:rPr>
            </w:pPr>
            <w:r w:rsidRPr="00F72A3A">
              <w:rPr>
                <w:rFonts w:ascii="宋体" w:eastAsia="宋体" w:hAnsi="宋体" w:cs="宋体"/>
                <w:sz w:val="18"/>
                <w:szCs w:val="18"/>
              </w:rPr>
              <w:t>16,368,706.67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26,731,850.20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194,440.15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395,507.83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10,777,919.70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9,797,598.86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10,972,359.85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10,193,106.69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F72A3A">
            <w:pPr>
              <w:spacing w:line="240" w:lineRule="exact"/>
              <w:jc w:val="right"/>
              <w:rPr>
                <w:rFonts w:ascii="宋体" w:eastAsia="宋体" w:hAnsi="宋体" w:cs="宋体"/>
                <w:sz w:val="18"/>
                <w:szCs w:val="18"/>
              </w:rPr>
            </w:pPr>
            <w:r w:rsidRPr="00F72A3A">
              <w:rPr>
                <w:rFonts w:ascii="宋体" w:eastAsia="宋体" w:hAnsi="宋体" w:cs="宋体"/>
                <w:sz w:val="18"/>
                <w:szCs w:val="18"/>
              </w:rPr>
              <w:t>27,341,066.52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36,924,956.89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436,418,214.00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442,631,734.00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854,994,244.93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906,141,745.85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31,783,954.97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28,327,733.40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1,463,894.95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197A47">
            <w:pPr>
              <w:spacing w:line="240" w:lineRule="exact"/>
              <w:jc w:val="right"/>
              <w:rPr>
                <w:rFonts w:ascii="宋体" w:eastAsia="宋体" w:hAnsi="宋体" w:cs="宋体"/>
                <w:sz w:val="18"/>
                <w:szCs w:val="18"/>
              </w:rPr>
            </w:pPr>
            <w:r w:rsidRPr="00197A47">
              <w:rPr>
                <w:rFonts w:ascii="宋体" w:eastAsia="宋体" w:hAnsi="宋体" w:cs="宋体"/>
                <w:sz w:val="18"/>
                <w:szCs w:val="18"/>
              </w:rPr>
              <w:t>92,787,529.06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197A47">
            <w:pPr>
              <w:spacing w:line="240" w:lineRule="exact"/>
              <w:jc w:val="right"/>
              <w:rPr>
                <w:rFonts w:ascii="宋体" w:eastAsia="宋体" w:hAnsi="宋体" w:cs="宋体"/>
                <w:sz w:val="18"/>
                <w:szCs w:val="18"/>
              </w:rPr>
            </w:pPr>
            <w:r w:rsidRPr="00197A47">
              <w:rPr>
                <w:rFonts w:ascii="宋体" w:eastAsia="宋体" w:hAnsi="宋体" w:cs="宋体"/>
                <w:sz w:val="18"/>
                <w:szCs w:val="18"/>
              </w:rPr>
              <w:t>117,682,491.46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100,955,257.65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197A47">
            <w:pPr>
              <w:spacing w:line="240" w:lineRule="exact"/>
              <w:jc w:val="right"/>
              <w:rPr>
                <w:rFonts w:ascii="宋体" w:eastAsia="宋体" w:hAnsi="宋体" w:cs="宋体"/>
                <w:sz w:val="18"/>
                <w:szCs w:val="18"/>
              </w:rPr>
            </w:pPr>
            <w:r w:rsidRPr="00197A47">
              <w:rPr>
                <w:rFonts w:ascii="宋体" w:eastAsia="宋体" w:hAnsi="宋体" w:cs="宋体"/>
                <w:sz w:val="18"/>
                <w:szCs w:val="18"/>
              </w:rPr>
              <w:t>1,507,047,446.42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1,513,088,292.46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197A47">
            <w:pPr>
              <w:spacing w:line="240" w:lineRule="exact"/>
              <w:jc w:val="right"/>
              <w:rPr>
                <w:rFonts w:ascii="宋体" w:eastAsia="宋体" w:hAnsi="宋体" w:cs="宋体"/>
                <w:sz w:val="18"/>
                <w:szCs w:val="18"/>
              </w:rPr>
            </w:pPr>
            <w:r w:rsidRPr="00197A47">
              <w:rPr>
                <w:rFonts w:ascii="宋体" w:eastAsia="宋体" w:hAnsi="宋体" w:cs="宋体"/>
                <w:sz w:val="18"/>
                <w:szCs w:val="18"/>
              </w:rPr>
              <w:t>1,534,388,512.94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1,550,013,249.35</w:t>
            </w:r>
          </w:p>
        </w:tc>
      </w:tr>
    </w:tbl>
    <w:p w:rsidR="00A27D66" w:rsidRDefault="00A2119D">
      <w:pPr>
        <w:pStyle w:val="3"/>
        <w:spacing w:line="280" w:lineRule="exact"/>
        <w:jc w:val="left"/>
        <w:rPr>
          <w:rFonts w:ascii="宋体" w:hAnsi="宋体" w:cs="宋体"/>
          <w:b/>
          <w:bCs/>
        </w:rPr>
      </w:pPr>
      <w:bookmarkStart w:id="156" w:name="_Toc989041"/>
      <w:r>
        <w:rPr>
          <w:rFonts w:ascii="宋体" w:hAnsi="宋体" w:cs="宋体"/>
          <w:b/>
          <w:bCs/>
        </w:rPr>
        <w:t>3、合并利润表</w:t>
      </w:r>
      <w:bookmarkEnd w:id="156"/>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387"/>
        <w:gridCol w:w="2410"/>
        <w:gridCol w:w="1842"/>
      </w:tblGrid>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2024年度</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2023年度</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一、营业总收入</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396,288,612.52</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323,277,259.89</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396,288,612.52</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323,277,259.89</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B566C5">
            <w:pPr>
              <w:spacing w:line="240" w:lineRule="exact"/>
              <w:jc w:val="right"/>
              <w:rPr>
                <w:rFonts w:ascii="宋体" w:eastAsia="宋体" w:hAnsi="宋体" w:cs="宋体"/>
                <w:sz w:val="18"/>
                <w:szCs w:val="18"/>
              </w:rPr>
            </w:pPr>
            <w:r w:rsidRPr="00B566C5">
              <w:rPr>
                <w:rFonts w:ascii="宋体" w:eastAsia="宋体" w:hAnsi="宋体" w:cs="宋体"/>
                <w:sz w:val="18"/>
                <w:szCs w:val="18"/>
              </w:rPr>
              <w:t>369,735,301.21</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339,681,642.33</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187,566,411.96</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155,852,489.44</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提取保险责任合同准备金净额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税金及附加</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3,620,276.00</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3,685,786.81</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23,038,990.91</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28,119,402.16</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B566C5">
            <w:pPr>
              <w:spacing w:line="240" w:lineRule="exact"/>
              <w:jc w:val="right"/>
              <w:rPr>
                <w:rFonts w:ascii="宋体" w:eastAsia="宋体" w:hAnsi="宋体" w:cs="宋体"/>
                <w:sz w:val="18"/>
                <w:szCs w:val="18"/>
              </w:rPr>
            </w:pPr>
            <w:r w:rsidRPr="00B566C5">
              <w:rPr>
                <w:rFonts w:ascii="宋体" w:eastAsia="宋体" w:hAnsi="宋体" w:cs="宋体"/>
                <w:sz w:val="18"/>
                <w:szCs w:val="18"/>
              </w:rPr>
              <w:t>60,468,955.07</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57,003,175.36</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95,082,549.45</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94,494,116.95</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-41,882.18</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526,671.61</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2,817,371.06</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3,099,983.34</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2,745,860.95</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2,292,400.51</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12,591,290.97</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5,636,938.73</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B566C5">
            <w:pPr>
              <w:spacing w:line="240" w:lineRule="exact"/>
              <w:jc w:val="right"/>
              <w:rPr>
                <w:rFonts w:ascii="宋体" w:eastAsia="宋体" w:hAnsi="宋体" w:cs="宋体"/>
                <w:sz w:val="18"/>
                <w:szCs w:val="18"/>
              </w:rPr>
            </w:pPr>
            <w:r w:rsidRPr="00B566C5">
              <w:rPr>
                <w:rFonts w:ascii="宋体" w:eastAsia="宋体" w:hAnsi="宋体" w:cs="宋体"/>
                <w:sz w:val="18"/>
                <w:szCs w:val="18"/>
              </w:rPr>
              <w:t>-12,637,838.98</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7,519,239.06</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B566C5">
            <w:pPr>
              <w:spacing w:line="240" w:lineRule="exact"/>
              <w:jc w:val="right"/>
              <w:rPr>
                <w:rFonts w:ascii="宋体" w:eastAsia="宋体" w:hAnsi="宋体" w:cs="宋体"/>
                <w:sz w:val="18"/>
                <w:szCs w:val="18"/>
              </w:rPr>
            </w:pPr>
            <w:r w:rsidRPr="00B566C5">
              <w:rPr>
                <w:rFonts w:ascii="宋体" w:eastAsia="宋体" w:hAnsi="宋体" w:cs="宋体"/>
                <w:sz w:val="18"/>
                <w:szCs w:val="18"/>
              </w:rPr>
              <w:t>-15,284,227.93</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686,085.72</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4,169,088.25</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-85,685.81</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B566C5">
            <w:pPr>
              <w:spacing w:line="240" w:lineRule="exact"/>
              <w:jc w:val="right"/>
              <w:rPr>
                <w:rFonts w:ascii="宋体" w:eastAsia="宋体" w:hAnsi="宋体" w:cs="宋体"/>
                <w:sz w:val="18"/>
                <w:szCs w:val="18"/>
              </w:rPr>
            </w:pPr>
            <w:r w:rsidRPr="00B566C5">
              <w:rPr>
                <w:rFonts w:ascii="宋体" w:eastAsia="宋体" w:hAnsi="宋体" w:cs="宋体"/>
                <w:sz w:val="18"/>
                <w:szCs w:val="18"/>
              </w:rPr>
              <w:t>-11,625,588.38</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-1,294,851.70</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B566C5">
            <w:pPr>
              <w:spacing w:line="240" w:lineRule="exact"/>
              <w:jc w:val="right"/>
              <w:rPr>
                <w:rFonts w:ascii="宋体" w:eastAsia="宋体" w:hAnsi="宋体" w:cs="宋体"/>
                <w:sz w:val="18"/>
                <w:szCs w:val="18"/>
              </w:rPr>
            </w:pPr>
            <w:r w:rsidRPr="00B566C5">
              <w:rPr>
                <w:rFonts w:ascii="宋体" w:eastAsia="宋体" w:hAnsi="宋体" w:cs="宋体"/>
                <w:sz w:val="18"/>
                <w:szCs w:val="18"/>
              </w:rPr>
              <w:t>-1,253,386.55</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-256,564,784.41</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82,857.82</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-50,137.40</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三、营业利润（亏损以“－”号填列）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B566C5">
            <w:pPr>
              <w:spacing w:line="240" w:lineRule="exact"/>
              <w:jc w:val="right"/>
              <w:rPr>
                <w:rFonts w:ascii="宋体" w:eastAsia="宋体" w:hAnsi="宋体" w:cs="宋体"/>
                <w:sz w:val="18"/>
                <w:szCs w:val="18"/>
              </w:rPr>
            </w:pPr>
            <w:r w:rsidRPr="00B566C5">
              <w:rPr>
                <w:rFonts w:ascii="宋体" w:eastAsia="宋体" w:hAnsi="宋体" w:cs="宋体"/>
                <w:sz w:val="18"/>
                <w:szCs w:val="18"/>
              </w:rPr>
              <w:t>17,879,734.44</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-261,243,663.97</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1,747,985.36</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20,584,817.15</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1,759,207.36</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4,013,005.13</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B566C5">
            <w:pPr>
              <w:spacing w:line="240" w:lineRule="exact"/>
              <w:jc w:val="right"/>
              <w:rPr>
                <w:rFonts w:ascii="宋体" w:eastAsia="宋体" w:hAnsi="宋体" w:cs="宋体"/>
                <w:sz w:val="18"/>
                <w:szCs w:val="18"/>
              </w:rPr>
            </w:pPr>
            <w:r w:rsidRPr="00B566C5">
              <w:rPr>
                <w:rFonts w:ascii="宋体" w:eastAsia="宋体" w:hAnsi="宋体" w:cs="宋体"/>
                <w:sz w:val="18"/>
                <w:szCs w:val="18"/>
              </w:rPr>
              <w:t>17,868,512.44</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-244,671,851.95</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713,213.39</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-2,097,259.52</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B566C5">
            <w:pPr>
              <w:spacing w:line="240" w:lineRule="exact"/>
              <w:jc w:val="right"/>
              <w:rPr>
                <w:rFonts w:ascii="宋体" w:eastAsia="宋体" w:hAnsi="宋体" w:cs="宋体"/>
                <w:sz w:val="18"/>
                <w:szCs w:val="18"/>
              </w:rPr>
            </w:pPr>
            <w:r w:rsidRPr="00B566C5">
              <w:rPr>
                <w:rFonts w:ascii="宋体" w:eastAsia="宋体" w:hAnsi="宋体" w:cs="宋体"/>
                <w:sz w:val="18"/>
                <w:szCs w:val="18"/>
              </w:rPr>
              <w:t>17,155,299.05</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-242,574,592.43</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B566C5">
            <w:pPr>
              <w:spacing w:line="240" w:lineRule="exact"/>
              <w:jc w:val="right"/>
              <w:rPr>
                <w:rFonts w:ascii="宋体" w:eastAsia="宋体" w:hAnsi="宋体" w:cs="宋体"/>
                <w:sz w:val="18"/>
                <w:szCs w:val="18"/>
              </w:rPr>
            </w:pPr>
            <w:r w:rsidRPr="00B566C5">
              <w:rPr>
                <w:rFonts w:ascii="宋体" w:eastAsia="宋体" w:hAnsi="宋体" w:cs="宋体"/>
                <w:sz w:val="18"/>
                <w:szCs w:val="18"/>
              </w:rPr>
              <w:t>17,155,299.05</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-242,574,592.43</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B566C5">
            <w:pPr>
              <w:spacing w:line="240" w:lineRule="exact"/>
              <w:jc w:val="right"/>
              <w:rPr>
                <w:rFonts w:ascii="宋体" w:eastAsia="宋体" w:hAnsi="宋体" w:cs="宋体"/>
                <w:sz w:val="18"/>
                <w:szCs w:val="18"/>
              </w:rPr>
            </w:pPr>
            <w:r w:rsidRPr="00B566C5">
              <w:rPr>
                <w:rFonts w:ascii="宋体" w:eastAsia="宋体" w:hAnsi="宋体" w:cs="宋体"/>
                <w:sz w:val="18"/>
                <w:szCs w:val="18"/>
              </w:rPr>
              <w:t>20,514,596.04</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-233,068,813.79</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-3,359,296.99</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-9,505,778.64</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8,131,196.40</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26,327,733.40</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8,131,196.40</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27,194,333.40</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8,131,196.40</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27,194,333.40</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8,131,196.40</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27,194,333.40</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-866,600.00</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B566C5">
            <w:pPr>
              <w:spacing w:line="240" w:lineRule="exact"/>
              <w:jc w:val="right"/>
              <w:rPr>
                <w:rFonts w:ascii="宋体" w:eastAsia="宋体" w:hAnsi="宋体" w:cs="宋体"/>
                <w:sz w:val="18"/>
                <w:szCs w:val="18"/>
              </w:rPr>
            </w:pPr>
            <w:r w:rsidRPr="00B566C5">
              <w:rPr>
                <w:rFonts w:ascii="宋体" w:eastAsia="宋体" w:hAnsi="宋体" w:cs="宋体"/>
                <w:sz w:val="18"/>
                <w:szCs w:val="18"/>
              </w:rPr>
              <w:t>25,286,495.45</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-216,246,859.03</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B566C5">
            <w:pPr>
              <w:spacing w:line="240" w:lineRule="exact"/>
              <w:jc w:val="right"/>
              <w:rPr>
                <w:rFonts w:ascii="宋体" w:eastAsia="宋体" w:hAnsi="宋体" w:cs="宋体"/>
                <w:sz w:val="18"/>
                <w:szCs w:val="18"/>
              </w:rPr>
            </w:pPr>
            <w:r w:rsidRPr="00B566C5">
              <w:rPr>
                <w:rFonts w:ascii="宋体" w:eastAsia="宋体" w:hAnsi="宋体" w:cs="宋体"/>
                <w:sz w:val="18"/>
                <w:szCs w:val="18"/>
              </w:rPr>
              <w:t>28,645,792.44</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-205,874,480.39</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-3,359,296.99</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-10,372,378.64</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八、每股收益</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-0.53</w:t>
            </w:r>
          </w:p>
        </w:tc>
      </w:tr>
      <w:tr w:rsidR="00A27D66" w:rsidTr="0095463F">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184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-0.53</w:t>
            </w:r>
          </w:p>
        </w:tc>
      </w:tr>
    </w:tbl>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 xml:space="preserve">法定代表人：李忠   </w:t>
      </w:r>
      <w:r w:rsidR="00921569">
        <w:rPr>
          <w:rFonts w:ascii="宋体" w:eastAsia="宋体" w:hAnsi="宋体" w:cs="宋体"/>
          <w:sz w:val="18"/>
          <w:szCs w:val="18"/>
        </w:rPr>
        <w:t xml:space="preserve">                  </w:t>
      </w:r>
      <w:r>
        <w:rPr>
          <w:rFonts w:ascii="宋体" w:eastAsia="宋体" w:hAnsi="宋体" w:cs="宋体"/>
          <w:sz w:val="18"/>
          <w:szCs w:val="18"/>
        </w:rPr>
        <w:t xml:space="preserve"> 主管会计工作负责人：彭占凯  </w:t>
      </w:r>
      <w:r w:rsidR="00921569">
        <w:rPr>
          <w:rFonts w:ascii="宋体" w:eastAsia="宋体" w:hAnsi="宋体" w:cs="宋体"/>
          <w:sz w:val="18"/>
          <w:szCs w:val="18"/>
        </w:rPr>
        <w:t xml:space="preserve">            </w:t>
      </w:r>
      <w:r>
        <w:rPr>
          <w:rFonts w:ascii="宋体" w:eastAsia="宋体" w:hAnsi="宋体" w:cs="宋体"/>
          <w:sz w:val="18"/>
          <w:szCs w:val="18"/>
        </w:rPr>
        <w:t xml:space="preserve">  会计机构负责人：</w:t>
      </w:r>
      <w:proofErr w:type="gramStart"/>
      <w:r>
        <w:rPr>
          <w:rFonts w:ascii="宋体" w:eastAsia="宋体" w:hAnsi="宋体" w:cs="宋体"/>
          <w:sz w:val="18"/>
          <w:szCs w:val="18"/>
        </w:rPr>
        <w:t>徐佳君</w:t>
      </w:r>
      <w:proofErr w:type="gramEnd"/>
    </w:p>
    <w:p w:rsidR="00A27D66" w:rsidRDefault="00A2119D">
      <w:pPr>
        <w:pStyle w:val="3"/>
        <w:spacing w:line="280" w:lineRule="exact"/>
        <w:jc w:val="left"/>
        <w:rPr>
          <w:rFonts w:ascii="宋体" w:hAnsi="宋体" w:cs="宋体"/>
          <w:b/>
          <w:bCs/>
        </w:rPr>
      </w:pPr>
      <w:bookmarkStart w:id="157" w:name="_Toc989042"/>
      <w:r>
        <w:rPr>
          <w:rFonts w:ascii="宋体" w:hAnsi="宋体" w:cs="宋体"/>
          <w:b/>
          <w:bCs/>
        </w:rPr>
        <w:t>4、母公司利润表</w:t>
      </w:r>
      <w:bookmarkEnd w:id="157"/>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103"/>
        <w:gridCol w:w="2268"/>
        <w:gridCol w:w="2268"/>
      </w:tblGrid>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2024年度</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2023年度</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一、营业收入</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3,672,118.06</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4,940,045.37</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914,073.40</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935,072.60</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756,818.03</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732,664.55</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管理费用</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25,124,722.97</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28,683,674.09</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-3,484,566.98</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-2,652,795.04</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32,709.78</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53,972.92</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3,532,687.69</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2,718,859.97</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62,529.63</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36,585.27</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26,996,676.44</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17,837,634.29</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-13,920,182.63</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3,588,474.76</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2,366,180.20</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-1,512,922.58</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22,703.51</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-12,538.82</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-212,523,601.66</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82,857.82</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-1,022.25</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二、营业利润（亏损以“－”号填列）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9,892,018.24</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-218,934,436.58</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1,469,284.95</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18,264,370.46</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60,800.92</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3,852,316.12</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三、利润总额（亏损总额以“－”号填列）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11,300,502.27</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-204,522,382.24</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-2,610,338.24</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85,080.88</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四、净利润（净亏损以“－”号填列）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13,910,840.51</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-204,607,463.12</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13,910,840.51</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-204,607,463.12</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五、其他综合收益的税后净额</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8,131,196.40</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28,327,733.40</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8,131,196.40</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28,327,733.40</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8,131,196.40</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28,327,733.40</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4.其他债权投资信用减值准备</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六、综合收益总额</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22,042,036.91</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-176,279,729.72</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七、每股收益</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-0.53</w:t>
            </w:r>
          </w:p>
        </w:tc>
      </w:tr>
      <w:tr w:rsidR="00A27D66" w:rsidTr="0095463F">
        <w:trPr>
          <w:trHeight w:val="240"/>
        </w:trPr>
        <w:tc>
          <w:tcPr>
            <w:tcW w:w="510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-0.53</w:t>
            </w:r>
          </w:p>
        </w:tc>
      </w:tr>
    </w:tbl>
    <w:p w:rsidR="00A27D66" w:rsidRDefault="00A2119D">
      <w:pPr>
        <w:pStyle w:val="3"/>
        <w:spacing w:line="280" w:lineRule="exact"/>
        <w:jc w:val="left"/>
        <w:rPr>
          <w:rFonts w:ascii="宋体" w:hAnsi="宋体" w:cs="宋体"/>
          <w:b/>
          <w:bCs/>
        </w:rPr>
      </w:pPr>
      <w:bookmarkStart w:id="158" w:name="_Toc989043"/>
      <w:r>
        <w:rPr>
          <w:rFonts w:ascii="宋体" w:hAnsi="宋体" w:cs="宋体"/>
          <w:b/>
          <w:bCs/>
        </w:rPr>
        <w:t>5、合并现金流量表</w:t>
      </w:r>
      <w:bookmarkEnd w:id="158"/>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40"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2457"/>
        <w:gridCol w:w="2363"/>
      </w:tblGrid>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245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2024年度</w:t>
            </w:r>
          </w:p>
        </w:tc>
        <w:tc>
          <w:tcPr>
            <w:tcW w:w="236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2023年度</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45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36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358,086,422.95</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424,625,189.34</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21,476,330.48</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28,348,103.87</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379,562,753.43</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452,973,293.21</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242,581,670.64</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187,714,962.97</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114,943,801.40</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105,411,980.96</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20,293,430.63</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48,915,807.17</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57,574,036.14</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68,306,409.74</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435,392,938.81</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410,349,160.84</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-55,830,185.38</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42,624,132.37</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45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36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1,189,550,000.00</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1,311,339,916.99</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9,697,458.30</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1,717,700.89</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42,545.00</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286,447.55</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759,052.71</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717,360.90</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1,017,596.77</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1,200,766,416.91</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1,314,361,662.20</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12,311,376.81</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23,201,620.96</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1,269,263,342.47</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1,203,245,342.00</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取得子公司及其他营业单位支付的现金净额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11,111,100.00</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1,281,574,719.28</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1,237,558,062.96</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-80,808,302.37</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76,803,599.24</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45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36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100,000.00</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100,000.00</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12,210,000.00</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12,310,000.00</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1,500,000.00</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488,343.62</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1,206,644.48</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1,000,000.00</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42,706,859.21</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8,139,528.58</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43,195,202.83</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10,846,173.06</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8F7148">
            <w:pPr>
              <w:spacing w:line="240" w:lineRule="exact"/>
              <w:jc w:val="right"/>
              <w:rPr>
                <w:rFonts w:ascii="宋体" w:eastAsia="宋体" w:hAnsi="宋体" w:cs="宋体"/>
                <w:sz w:val="18"/>
                <w:szCs w:val="18"/>
              </w:rPr>
            </w:pPr>
            <w:r w:rsidRPr="008F7148">
              <w:rPr>
                <w:rFonts w:ascii="宋体" w:eastAsia="宋体" w:hAnsi="宋体" w:cs="宋体"/>
                <w:sz w:val="18"/>
                <w:szCs w:val="18"/>
              </w:rPr>
              <w:t>-30,885,202.83</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-10,846,173.06</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4,972.93</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3,657.51</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-167,518,717.65</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108,585,216.06</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202,930,595.77</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94,345,379.71</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45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35,411,878.12</w:t>
            </w:r>
          </w:p>
        </w:tc>
        <w:tc>
          <w:tcPr>
            <w:tcW w:w="236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202,930,595.77</w:t>
            </w:r>
          </w:p>
        </w:tc>
      </w:tr>
    </w:tbl>
    <w:p w:rsidR="00A27D66" w:rsidRDefault="00A2119D">
      <w:pPr>
        <w:pStyle w:val="3"/>
        <w:spacing w:line="280" w:lineRule="exact"/>
        <w:jc w:val="left"/>
        <w:rPr>
          <w:rFonts w:ascii="宋体" w:hAnsi="宋体" w:cs="宋体"/>
          <w:b/>
          <w:bCs/>
        </w:rPr>
      </w:pPr>
      <w:bookmarkStart w:id="159" w:name="_Toc989044"/>
      <w:r>
        <w:rPr>
          <w:rFonts w:ascii="宋体" w:hAnsi="宋体" w:cs="宋体"/>
          <w:b/>
          <w:bCs/>
        </w:rPr>
        <w:t>6、母公司现金流量表</w:t>
      </w:r>
      <w:bookmarkEnd w:id="159"/>
    </w:p>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2551"/>
        <w:gridCol w:w="2268"/>
      </w:tblGrid>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2024年度</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2023年度</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3,994,708.88</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6,622,788.47</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6,563,304.23</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21,017,458.74</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10,558,013.11</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27,640,247.21</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3,774,240.75</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2,306,993.11</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881D1A">
            <w:pPr>
              <w:spacing w:line="240" w:lineRule="exact"/>
              <w:jc w:val="right"/>
              <w:rPr>
                <w:rFonts w:ascii="宋体" w:eastAsia="宋体" w:hAnsi="宋体" w:cs="宋体"/>
                <w:sz w:val="18"/>
                <w:szCs w:val="18"/>
              </w:rPr>
            </w:pPr>
            <w:r w:rsidRPr="00881D1A">
              <w:rPr>
                <w:rFonts w:ascii="宋体" w:eastAsia="宋体" w:hAnsi="宋体" w:cs="宋体"/>
                <w:sz w:val="18"/>
                <w:szCs w:val="18"/>
              </w:rPr>
              <w:t>13,650,022.12</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16,011,519.81</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1,713,636.86</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815,066.45</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881D1A">
            <w:pPr>
              <w:spacing w:line="240" w:lineRule="exact"/>
              <w:jc w:val="right"/>
              <w:rPr>
                <w:rFonts w:ascii="宋体" w:eastAsia="宋体" w:hAnsi="宋体" w:cs="宋体"/>
                <w:sz w:val="18"/>
                <w:szCs w:val="18"/>
              </w:rPr>
            </w:pPr>
            <w:r w:rsidRPr="00881D1A">
              <w:rPr>
                <w:rFonts w:ascii="宋体" w:eastAsia="宋体" w:hAnsi="宋体" w:cs="宋体"/>
                <w:sz w:val="18"/>
                <w:szCs w:val="18"/>
              </w:rPr>
              <w:t>11,559,983.64</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17,143,705.25</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881D1A">
            <w:pPr>
              <w:spacing w:line="240" w:lineRule="exact"/>
              <w:jc w:val="right"/>
              <w:rPr>
                <w:rFonts w:ascii="宋体" w:eastAsia="宋体" w:hAnsi="宋体" w:cs="宋体"/>
                <w:sz w:val="18"/>
                <w:szCs w:val="18"/>
              </w:rPr>
            </w:pPr>
            <w:r w:rsidRPr="00881D1A">
              <w:rPr>
                <w:rFonts w:ascii="宋体" w:eastAsia="宋体" w:hAnsi="宋体" w:cs="宋体"/>
                <w:sz w:val="18"/>
                <w:szCs w:val="18"/>
              </w:rPr>
              <w:t>30,697,883.37</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36,277,284.62</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881D1A">
            <w:pPr>
              <w:spacing w:line="240" w:lineRule="exact"/>
              <w:jc w:val="right"/>
              <w:rPr>
                <w:rFonts w:ascii="宋体" w:eastAsia="宋体" w:hAnsi="宋体" w:cs="宋体"/>
                <w:sz w:val="18"/>
                <w:szCs w:val="18"/>
              </w:rPr>
            </w:pPr>
            <w:r w:rsidRPr="00881D1A">
              <w:rPr>
                <w:rFonts w:ascii="宋体" w:eastAsia="宋体" w:hAnsi="宋体" w:cs="宋体"/>
                <w:sz w:val="18"/>
                <w:szCs w:val="18"/>
              </w:rPr>
              <w:t>-20,139,870.26</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-8,637,037.41</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881D1A">
            <w:pPr>
              <w:spacing w:line="240" w:lineRule="exact"/>
              <w:jc w:val="right"/>
              <w:rPr>
                <w:rFonts w:ascii="宋体" w:eastAsia="宋体" w:hAnsi="宋体" w:cs="宋体"/>
                <w:sz w:val="18"/>
                <w:szCs w:val="18"/>
              </w:rPr>
            </w:pPr>
            <w:r w:rsidRPr="00881D1A">
              <w:rPr>
                <w:rFonts w:ascii="宋体" w:eastAsia="宋体" w:hAnsi="宋体" w:cs="宋体"/>
                <w:sz w:val="18"/>
                <w:szCs w:val="18"/>
              </w:rPr>
              <w:t>767,000,000.00</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982,144,519.60</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881D1A">
            <w:pPr>
              <w:spacing w:line="240" w:lineRule="exact"/>
              <w:jc w:val="right"/>
              <w:rPr>
                <w:rFonts w:ascii="宋体" w:eastAsia="宋体" w:hAnsi="宋体" w:cs="宋体"/>
                <w:sz w:val="18"/>
                <w:szCs w:val="18"/>
              </w:rPr>
            </w:pPr>
            <w:r w:rsidRPr="00881D1A">
              <w:rPr>
                <w:rFonts w:ascii="宋体" w:eastAsia="宋体" w:hAnsi="宋体" w:cs="宋体"/>
                <w:sz w:val="18"/>
                <w:szCs w:val="18"/>
              </w:rPr>
              <w:t>47,247,003.31</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25,840,958.78</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2,545.00</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26,226,251.31</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850,000.00</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840,475,799.62</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1,008,835,478.38</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141,890.14</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83,894.10</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871,938,982.47</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840,995,342.00</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20,600,000.00</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32,290,000.00</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25,353,958.84</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904,370,872.61</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887,033,194.94</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-63,895,072.99</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121,802,283.44</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筹资活动现金流入小计</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881D1A">
            <w:pPr>
              <w:spacing w:line="240" w:lineRule="exact"/>
              <w:jc w:val="right"/>
              <w:rPr>
                <w:rFonts w:ascii="宋体" w:eastAsia="宋体" w:hAnsi="宋体" w:cs="宋体"/>
                <w:sz w:val="18"/>
                <w:szCs w:val="18"/>
              </w:rPr>
            </w:pPr>
            <w:r w:rsidRPr="00881D1A">
              <w:rPr>
                <w:rFonts w:ascii="宋体" w:eastAsia="宋体" w:hAnsi="宋体" w:cs="宋体"/>
                <w:sz w:val="18"/>
                <w:szCs w:val="18"/>
              </w:rPr>
              <w:t>339,454.73</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206,644.48</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36,066,963.71</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1,986,833.08</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881D1A">
            <w:pPr>
              <w:spacing w:line="240" w:lineRule="exact"/>
              <w:jc w:val="right"/>
              <w:rPr>
                <w:rFonts w:ascii="宋体" w:eastAsia="宋体" w:hAnsi="宋体" w:cs="宋体"/>
                <w:sz w:val="18"/>
                <w:szCs w:val="18"/>
              </w:rPr>
            </w:pPr>
            <w:r w:rsidRPr="00881D1A">
              <w:rPr>
                <w:rFonts w:ascii="宋体" w:eastAsia="宋体" w:hAnsi="宋体" w:cs="宋体"/>
                <w:sz w:val="18"/>
                <w:szCs w:val="18"/>
              </w:rPr>
              <w:t>36,406,418.44</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2,193,477.56</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881D1A">
            <w:pPr>
              <w:spacing w:line="240" w:lineRule="exact"/>
              <w:jc w:val="right"/>
              <w:rPr>
                <w:rFonts w:ascii="宋体" w:eastAsia="宋体" w:hAnsi="宋体" w:cs="宋体"/>
                <w:sz w:val="18"/>
                <w:szCs w:val="18"/>
              </w:rPr>
            </w:pPr>
            <w:r w:rsidRPr="00881D1A">
              <w:rPr>
                <w:rFonts w:ascii="宋体" w:eastAsia="宋体" w:hAnsi="宋体" w:cs="宋体"/>
                <w:sz w:val="18"/>
                <w:szCs w:val="18"/>
              </w:rPr>
              <w:t>-36,406,418.44</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-2,193,477.56</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-3,712.63</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-1,042.15</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-120,445,074.32</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110,970,726.32</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125,491,565.16</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14,520,838.84</w:t>
            </w:r>
          </w:p>
        </w:tc>
      </w:tr>
      <w:tr w:rsidR="00A27D66" w:rsidTr="0095463F">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55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5,046,490.84</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125,491,565.16</w:t>
            </w:r>
          </w:p>
        </w:tc>
      </w:tr>
    </w:tbl>
    <w:p w:rsidR="00A27D66" w:rsidRDefault="00A2119D">
      <w:pPr>
        <w:pStyle w:val="3"/>
        <w:spacing w:line="280" w:lineRule="exact"/>
        <w:jc w:val="left"/>
        <w:rPr>
          <w:rFonts w:ascii="宋体" w:hAnsi="宋体" w:cs="宋体"/>
          <w:b/>
          <w:bCs/>
        </w:rPr>
      </w:pPr>
      <w:bookmarkStart w:id="160" w:name="_Toc989045"/>
      <w:r>
        <w:rPr>
          <w:rFonts w:ascii="宋体" w:hAnsi="宋体" w:cs="宋体"/>
          <w:b/>
          <w:bCs/>
        </w:rPr>
        <w:t>7、合并所有者权益变动表</w:t>
      </w:r>
      <w:bookmarkEnd w:id="160"/>
    </w:p>
    <w:p w:rsidR="00A27D66" w:rsidRDefault="00A2119D">
      <w:pPr>
        <w:spacing w:line="240" w:lineRule="exact"/>
        <w:rPr>
          <w:rFonts w:ascii="宋体" w:eastAsia="宋体" w:hAnsi="宋体" w:cs="宋体"/>
          <w:sz w:val="18"/>
          <w:szCs w:val="18"/>
        </w:rPr>
      </w:pPr>
      <w:r>
        <w:rPr>
          <w:rFonts w:ascii="宋体" w:eastAsia="宋体" w:hAnsi="宋体" w:cs="宋体"/>
          <w:sz w:val="18"/>
          <w:szCs w:val="18"/>
        </w:rPr>
        <w:t>本期金额</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2"/>
        <w:gridCol w:w="602"/>
        <w:gridCol w:w="602"/>
        <w:gridCol w:w="602"/>
        <w:gridCol w:w="603"/>
        <w:gridCol w:w="602"/>
        <w:gridCol w:w="602"/>
        <w:gridCol w:w="602"/>
        <w:gridCol w:w="602"/>
        <w:gridCol w:w="602"/>
        <w:gridCol w:w="602"/>
        <w:gridCol w:w="602"/>
        <w:gridCol w:w="602"/>
        <w:gridCol w:w="607"/>
        <w:gridCol w:w="602"/>
        <w:gridCol w:w="603"/>
      </w:tblGrid>
      <w:tr w:rsidR="00A27D66">
        <w:trPr>
          <w:trHeight w:val="240"/>
        </w:trPr>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903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2024年度</w:t>
            </w:r>
          </w:p>
        </w:tc>
      </w:tr>
      <w:tr w:rsidR="00A27D66">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832"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A27D66">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80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442,631,734.00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760,626,848.99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27,194,333.40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5,897,912.92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339,678,471.67</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1,609,597,227.59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22,996,634.06</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1,632,593,861.65</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442,631,734.00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760,626,848.99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27,194,333.40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5,897,912.92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339,678,471.67</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1,609,597,227.59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22,996,634.06</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1,632,593,861.65</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-6,213,520.00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-51,147,500.92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-30,742,032.92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3,456,221.57</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716,067.55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68328F">
            <w:pPr>
              <w:spacing w:line="240" w:lineRule="exact"/>
              <w:jc w:val="right"/>
              <w:rPr>
                <w:rFonts w:ascii="宋体" w:eastAsia="宋体" w:hAnsi="宋体" w:cs="宋体"/>
                <w:sz w:val="18"/>
                <w:szCs w:val="18"/>
              </w:rPr>
            </w:pPr>
            <w:r w:rsidRPr="0068328F">
              <w:rPr>
                <w:rFonts w:ascii="宋体" w:eastAsia="宋体" w:hAnsi="宋体" w:cs="宋体"/>
                <w:sz w:val="18"/>
                <w:szCs w:val="18"/>
              </w:rPr>
              <w:t>1,858,581.53</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68328F">
            <w:pPr>
              <w:spacing w:line="240" w:lineRule="exact"/>
              <w:jc w:val="right"/>
              <w:rPr>
                <w:rFonts w:ascii="宋体" w:eastAsia="宋体" w:hAnsi="宋体" w:cs="宋体"/>
                <w:sz w:val="18"/>
                <w:szCs w:val="18"/>
              </w:rPr>
            </w:pPr>
            <w:r w:rsidRPr="0068328F">
              <w:rPr>
                <w:rFonts w:ascii="宋体" w:eastAsia="宋体" w:hAnsi="宋体" w:cs="宋体"/>
                <w:sz w:val="18"/>
                <w:szCs w:val="18"/>
              </w:rPr>
              <w:t>23,330,989.34</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841790">
            <w:pPr>
              <w:spacing w:line="240" w:lineRule="exact"/>
              <w:jc w:val="right"/>
              <w:rPr>
                <w:rFonts w:ascii="宋体" w:eastAsia="宋体" w:hAnsi="宋体" w:cs="宋体"/>
                <w:sz w:val="18"/>
                <w:szCs w:val="18"/>
              </w:rPr>
            </w:pPr>
            <w:r w:rsidRPr="00841790">
              <w:rPr>
                <w:rFonts w:ascii="宋体" w:eastAsia="宋体" w:hAnsi="宋体" w:cs="宋体"/>
                <w:sz w:val="18"/>
                <w:szCs w:val="18"/>
              </w:rPr>
              <w:t>2,742,871.99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-2,941,279.44</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841790">
            <w:pPr>
              <w:spacing w:line="240" w:lineRule="exact"/>
              <w:jc w:val="right"/>
              <w:rPr>
                <w:rFonts w:ascii="宋体" w:eastAsia="宋体" w:hAnsi="宋体" w:cs="宋体"/>
                <w:sz w:val="18"/>
                <w:szCs w:val="18"/>
              </w:rPr>
            </w:pPr>
            <w:r w:rsidRPr="00841790">
              <w:rPr>
                <w:rFonts w:ascii="宋体" w:eastAsia="宋体" w:hAnsi="宋体" w:cs="宋体"/>
                <w:sz w:val="18"/>
                <w:szCs w:val="18"/>
              </w:rPr>
              <w:t>-198,407.45</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（一）综</w:t>
            </w:r>
            <w:r>
              <w:rPr>
                <w:rFonts w:ascii="宋体" w:eastAsia="宋体" w:hAnsi="宋体" w:cs="宋体"/>
                <w:sz w:val="18"/>
                <w:szCs w:val="18"/>
              </w:rPr>
              <w:lastRenderedPageBreak/>
              <w:t>合收益总额</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8,131,19</w:t>
            </w:r>
            <w:r>
              <w:rPr>
                <w:rFonts w:ascii="宋体" w:eastAsia="宋体" w:hAnsi="宋体" w:cs="宋体"/>
                <w:sz w:val="18"/>
                <w:szCs w:val="18"/>
              </w:rPr>
              <w:lastRenderedPageBreak/>
              <w:t>6.40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68328F">
            <w:pPr>
              <w:spacing w:line="240" w:lineRule="exact"/>
              <w:jc w:val="right"/>
              <w:rPr>
                <w:rFonts w:ascii="宋体" w:eastAsia="宋体" w:hAnsi="宋体" w:cs="宋体"/>
                <w:sz w:val="18"/>
                <w:szCs w:val="18"/>
              </w:rPr>
            </w:pPr>
            <w:r w:rsidRPr="0068328F">
              <w:rPr>
                <w:rFonts w:ascii="宋体" w:eastAsia="宋体" w:hAnsi="宋体" w:cs="宋体"/>
                <w:sz w:val="18"/>
                <w:szCs w:val="18"/>
              </w:rPr>
              <w:t>20,514,5</w:t>
            </w:r>
            <w:r w:rsidRPr="0068328F">
              <w:rPr>
                <w:rFonts w:ascii="宋体" w:eastAsia="宋体" w:hAnsi="宋体" w:cs="宋体"/>
                <w:sz w:val="18"/>
                <w:szCs w:val="18"/>
              </w:rPr>
              <w:lastRenderedPageBreak/>
              <w:t>96.04</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841790">
            <w:pPr>
              <w:spacing w:line="240" w:lineRule="exact"/>
              <w:jc w:val="right"/>
              <w:rPr>
                <w:rFonts w:ascii="宋体" w:eastAsia="宋体" w:hAnsi="宋体" w:cs="宋体"/>
                <w:sz w:val="18"/>
                <w:szCs w:val="18"/>
              </w:rPr>
            </w:pPr>
            <w:r w:rsidRPr="00841790">
              <w:rPr>
                <w:rFonts w:ascii="宋体" w:eastAsia="宋体" w:hAnsi="宋体" w:cs="宋体"/>
                <w:sz w:val="18"/>
                <w:szCs w:val="18"/>
              </w:rPr>
              <w:t>28,645,7</w:t>
            </w:r>
            <w:r w:rsidRPr="00841790">
              <w:rPr>
                <w:rFonts w:ascii="宋体" w:eastAsia="宋体" w:hAnsi="宋体" w:cs="宋体"/>
                <w:sz w:val="18"/>
                <w:szCs w:val="18"/>
              </w:rPr>
              <w:lastRenderedPageBreak/>
              <w:t>92.44</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lastRenderedPageBreak/>
              <w:t>-3,35</w:t>
            </w:r>
            <w:r>
              <w:rPr>
                <w:rFonts w:ascii="宋体" w:eastAsia="宋体" w:hAnsi="宋体" w:cs="宋体"/>
                <w:sz w:val="18"/>
                <w:szCs w:val="18"/>
              </w:rPr>
              <w:lastRenderedPageBreak/>
              <w:t>9,296.99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841790">
            <w:pPr>
              <w:spacing w:line="240" w:lineRule="exact"/>
              <w:jc w:val="right"/>
              <w:rPr>
                <w:rFonts w:ascii="宋体" w:eastAsia="宋体" w:hAnsi="宋体" w:cs="宋体"/>
                <w:sz w:val="18"/>
                <w:szCs w:val="18"/>
              </w:rPr>
            </w:pPr>
            <w:r w:rsidRPr="00841790">
              <w:rPr>
                <w:rFonts w:ascii="宋体" w:eastAsia="宋体" w:hAnsi="宋体" w:cs="宋体"/>
                <w:sz w:val="18"/>
                <w:szCs w:val="18"/>
              </w:rPr>
              <w:lastRenderedPageBreak/>
              <w:t>25,286,4</w:t>
            </w:r>
            <w:r w:rsidRPr="00841790">
              <w:rPr>
                <w:rFonts w:ascii="宋体" w:eastAsia="宋体" w:hAnsi="宋体" w:cs="宋体"/>
                <w:sz w:val="18"/>
                <w:szCs w:val="18"/>
              </w:rPr>
              <w:lastRenderedPageBreak/>
              <w:t>95.45</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（二）所有者投入和减少资本</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-6,213,520.00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-51,147,500.92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-30,742,032.92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-6,213,520.00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-51,147,500.92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68328F">
            <w:pPr>
              <w:spacing w:line="240" w:lineRule="exact"/>
              <w:jc w:val="right"/>
              <w:rPr>
                <w:rFonts w:ascii="宋体" w:eastAsia="宋体" w:hAnsi="宋体" w:cs="宋体"/>
                <w:sz w:val="18"/>
                <w:szCs w:val="18"/>
              </w:rPr>
            </w:pPr>
            <w:r w:rsidRPr="0068328F">
              <w:rPr>
                <w:rFonts w:ascii="宋体" w:eastAsia="宋体" w:hAnsi="宋体" w:cs="宋体"/>
                <w:sz w:val="18"/>
                <w:szCs w:val="18"/>
              </w:rPr>
              <w:t>1,391,084.05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68328F">
            <w:pPr>
              <w:spacing w:line="240" w:lineRule="exact"/>
              <w:jc w:val="right"/>
              <w:rPr>
                <w:rFonts w:ascii="宋体" w:eastAsia="宋体" w:hAnsi="宋体" w:cs="宋体"/>
                <w:sz w:val="18"/>
                <w:szCs w:val="18"/>
              </w:rPr>
            </w:pPr>
            <w:r w:rsidRPr="0068328F">
              <w:rPr>
                <w:rFonts w:ascii="宋体" w:eastAsia="宋体" w:hAnsi="宋体" w:cs="宋体"/>
                <w:sz w:val="18"/>
                <w:szCs w:val="18"/>
              </w:rPr>
              <w:t>-1,391,084.05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258,625.45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841790">
            <w:pPr>
              <w:spacing w:line="240" w:lineRule="exact"/>
              <w:jc w:val="right"/>
              <w:rPr>
                <w:rFonts w:ascii="宋体" w:eastAsia="宋体" w:hAnsi="宋体" w:cs="宋体"/>
                <w:sz w:val="18"/>
                <w:szCs w:val="18"/>
              </w:rPr>
            </w:pPr>
            <w:r w:rsidRPr="00841790">
              <w:rPr>
                <w:rFonts w:ascii="宋体" w:eastAsia="宋体" w:hAnsi="宋体" w:cs="宋体"/>
                <w:sz w:val="18"/>
                <w:szCs w:val="18"/>
              </w:rPr>
              <w:t>258,625.45</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68328F">
            <w:pPr>
              <w:spacing w:line="240" w:lineRule="exact"/>
              <w:jc w:val="right"/>
              <w:rPr>
                <w:rFonts w:ascii="宋体" w:eastAsia="宋体" w:hAnsi="宋体" w:cs="宋体"/>
                <w:sz w:val="18"/>
                <w:szCs w:val="18"/>
              </w:rPr>
            </w:pPr>
            <w:r w:rsidRPr="0068328F">
              <w:rPr>
                <w:rFonts w:ascii="宋体" w:eastAsia="宋体" w:hAnsi="宋体" w:cs="宋体"/>
                <w:sz w:val="18"/>
                <w:szCs w:val="18"/>
              </w:rPr>
              <w:t>1,391,084.05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68328F">
            <w:pPr>
              <w:spacing w:line="240" w:lineRule="exact"/>
              <w:jc w:val="right"/>
              <w:rPr>
                <w:rFonts w:ascii="宋体" w:eastAsia="宋体" w:hAnsi="宋体" w:cs="宋体"/>
                <w:sz w:val="18"/>
                <w:szCs w:val="18"/>
              </w:rPr>
            </w:pPr>
            <w:r w:rsidRPr="0068328F">
              <w:rPr>
                <w:rFonts w:ascii="宋体" w:eastAsia="宋体" w:hAnsi="宋体" w:cs="宋体"/>
                <w:sz w:val="18"/>
                <w:szCs w:val="18"/>
              </w:rPr>
              <w:t>-1,391,084.05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3．对所有者（或股</w:t>
            </w:r>
            <w:r>
              <w:rPr>
                <w:rFonts w:ascii="宋体" w:eastAsia="宋体" w:hAnsi="宋体" w:cs="宋体"/>
                <w:sz w:val="18"/>
                <w:szCs w:val="18"/>
              </w:rPr>
              <w:lastRenderedPageBreak/>
              <w:t>东）的分配</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4．其他</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258,625.45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996C01">
            <w:pPr>
              <w:spacing w:line="240" w:lineRule="exact"/>
              <w:jc w:val="right"/>
              <w:rPr>
                <w:rFonts w:ascii="宋体" w:eastAsia="宋体" w:hAnsi="宋体" w:cs="宋体"/>
                <w:sz w:val="18"/>
                <w:szCs w:val="18"/>
              </w:rPr>
            </w:pPr>
            <w:r w:rsidRPr="00996C01">
              <w:rPr>
                <w:rFonts w:ascii="宋体" w:eastAsia="宋体" w:hAnsi="宋体" w:cs="宋体"/>
                <w:sz w:val="18"/>
                <w:szCs w:val="18"/>
              </w:rPr>
              <w:t>258,625.45</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-4,674,974.83</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467,497.48</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4,207,477.35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-4,674,974.83</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467,497.48</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4,207,477.35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（五）专项储</w:t>
            </w:r>
            <w:r>
              <w:rPr>
                <w:rFonts w:ascii="宋体" w:eastAsia="宋体" w:hAnsi="宋体" w:cs="宋体"/>
                <w:sz w:val="18"/>
                <w:szCs w:val="18"/>
              </w:rPr>
              <w:lastRenderedPageBreak/>
              <w:t>备</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716,067.55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716,067.55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159,392.10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875,459.65</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1．本期提取</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2,469,265.57</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2,469,265.57</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197,029.07</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2,666,294.64</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1,753,198.02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1,753,198.02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37,636.97</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1,790,834.99</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436,418,214.00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709,479,348.07</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30,650,554.97</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6,613,980.47</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68328F">
            <w:pPr>
              <w:spacing w:line="240" w:lineRule="exact"/>
              <w:jc w:val="right"/>
              <w:rPr>
                <w:rFonts w:ascii="宋体" w:eastAsia="宋体" w:hAnsi="宋体" w:cs="宋体"/>
                <w:sz w:val="18"/>
                <w:szCs w:val="18"/>
              </w:rPr>
            </w:pPr>
            <w:r w:rsidRPr="0068328F">
              <w:rPr>
                <w:rFonts w:ascii="宋体" w:eastAsia="宋体" w:hAnsi="宋体" w:cs="宋体"/>
                <w:sz w:val="18"/>
                <w:szCs w:val="18"/>
              </w:rPr>
              <w:t>92,787,529.06</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996C01">
            <w:pPr>
              <w:spacing w:line="240" w:lineRule="exact"/>
              <w:jc w:val="right"/>
              <w:rPr>
                <w:rFonts w:ascii="宋体" w:eastAsia="宋体" w:hAnsi="宋体" w:cs="宋体"/>
                <w:sz w:val="18"/>
                <w:szCs w:val="18"/>
              </w:rPr>
            </w:pPr>
            <w:r w:rsidRPr="00996C01">
              <w:rPr>
                <w:rFonts w:ascii="宋体" w:eastAsia="宋体" w:hAnsi="宋体" w:cs="宋体"/>
                <w:sz w:val="18"/>
                <w:szCs w:val="18"/>
              </w:rPr>
              <w:t>363,009,461.01</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996C01">
            <w:pPr>
              <w:spacing w:line="240" w:lineRule="exact"/>
              <w:jc w:val="right"/>
              <w:rPr>
                <w:rFonts w:ascii="宋体" w:eastAsia="宋体" w:hAnsi="宋体" w:cs="宋体"/>
                <w:sz w:val="18"/>
                <w:szCs w:val="18"/>
              </w:rPr>
            </w:pPr>
            <w:r w:rsidRPr="00996C01">
              <w:rPr>
                <w:rFonts w:ascii="宋体" w:eastAsia="宋体" w:hAnsi="宋体" w:cs="宋体"/>
                <w:sz w:val="18"/>
                <w:szCs w:val="18"/>
              </w:rPr>
              <w:t>1,612,340,099.58</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20,055,354.62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996C01">
            <w:pPr>
              <w:spacing w:line="240" w:lineRule="exact"/>
              <w:jc w:val="right"/>
              <w:rPr>
                <w:rFonts w:ascii="宋体" w:eastAsia="宋体" w:hAnsi="宋体" w:cs="宋体"/>
                <w:sz w:val="18"/>
                <w:szCs w:val="18"/>
              </w:rPr>
            </w:pPr>
            <w:r w:rsidRPr="00996C01">
              <w:rPr>
                <w:rFonts w:ascii="宋体" w:eastAsia="宋体" w:hAnsi="宋体" w:cs="宋体"/>
                <w:sz w:val="18"/>
                <w:szCs w:val="18"/>
              </w:rPr>
              <w:t>1,632,395,454.20</w:t>
            </w:r>
          </w:p>
        </w:tc>
      </w:tr>
    </w:tbl>
    <w:p w:rsidR="00A27D66" w:rsidRDefault="00A2119D">
      <w:pPr>
        <w:spacing w:line="240" w:lineRule="exact"/>
        <w:rPr>
          <w:rFonts w:ascii="宋体" w:eastAsia="宋体" w:hAnsi="宋体" w:cs="宋体"/>
          <w:sz w:val="18"/>
          <w:szCs w:val="18"/>
        </w:rPr>
      </w:pPr>
      <w:r>
        <w:rPr>
          <w:rFonts w:ascii="宋体" w:eastAsia="宋体" w:hAnsi="宋体" w:cs="宋体"/>
          <w:sz w:val="18"/>
          <w:szCs w:val="18"/>
        </w:rPr>
        <w:t>上期金额</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2"/>
        <w:gridCol w:w="602"/>
        <w:gridCol w:w="602"/>
        <w:gridCol w:w="602"/>
        <w:gridCol w:w="603"/>
        <w:gridCol w:w="602"/>
        <w:gridCol w:w="602"/>
        <w:gridCol w:w="602"/>
        <w:gridCol w:w="602"/>
        <w:gridCol w:w="602"/>
        <w:gridCol w:w="602"/>
        <w:gridCol w:w="602"/>
        <w:gridCol w:w="602"/>
        <w:gridCol w:w="607"/>
        <w:gridCol w:w="602"/>
        <w:gridCol w:w="603"/>
      </w:tblGrid>
      <w:tr w:rsidR="00A27D66">
        <w:trPr>
          <w:trHeight w:val="240"/>
        </w:trPr>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903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2023年度</w:t>
            </w:r>
          </w:p>
        </w:tc>
      </w:tr>
      <w:tr w:rsidR="00A27D66">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832"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A27D66">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80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708,693,669.05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65,326,541.77</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5,317,066.43</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572,747,285.46</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1,755,221,750.70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34,223,060.52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1,789,444,811.22</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708,693,669.05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65,326,541.77</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5,317,066.43</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572,747,285.46</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1,755,221,750.70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34,223,060.52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1,789,444,811.22</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-229,590.00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51,933,179.94</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-7,965,520.85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27,194,333.40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580,846.49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-233,068,813.79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-145,624,523.11</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-11,226,426.46</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-156,850,949.57</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（一）综合收益总额</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27,194,333.40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-233,068,813.79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-205,874,480.39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-10,372,378.64</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-216,246,859.03</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-229,590.00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51,933,179.94</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-7,965,520.85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59,669,110.79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-90,237.68</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59,578,873.11</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-6,062,955.90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-7,965,520.85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1,902,564.95</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-90,237.68</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1,812,327.27</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-229,590.00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57,996,135.84</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57,766,545.84</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57,766,545.84</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-1,000,000.00</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3．对所有者</w:t>
            </w:r>
            <w:r>
              <w:rPr>
                <w:rFonts w:ascii="宋体" w:eastAsia="宋体" w:hAnsi="宋体" w:cs="宋体"/>
                <w:sz w:val="18"/>
                <w:szCs w:val="18"/>
              </w:rPr>
              <w:lastRenderedPageBreak/>
              <w:t>（或股东）的分配</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-1,000,000.00</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4．其他</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（五）专</w:t>
            </w:r>
            <w:r>
              <w:rPr>
                <w:rFonts w:ascii="宋体" w:eastAsia="宋体" w:hAnsi="宋体" w:cs="宋体"/>
                <w:sz w:val="18"/>
                <w:szCs w:val="18"/>
              </w:rPr>
              <w:lastRenderedPageBreak/>
              <w:t>项储备</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580,846.</w:t>
            </w:r>
            <w:r>
              <w:rPr>
                <w:rFonts w:ascii="宋体" w:eastAsia="宋体" w:hAnsi="宋体" w:cs="宋体"/>
                <w:sz w:val="18"/>
                <w:szCs w:val="18"/>
              </w:rPr>
              <w:lastRenderedPageBreak/>
              <w:t>49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580,846.</w:t>
            </w:r>
            <w:r>
              <w:rPr>
                <w:rFonts w:ascii="宋体" w:eastAsia="宋体" w:hAnsi="宋体" w:cs="宋体"/>
                <w:sz w:val="18"/>
                <w:szCs w:val="18"/>
              </w:rPr>
              <w:lastRenderedPageBreak/>
              <w:t>49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lastRenderedPageBreak/>
              <w:t>236,189.</w:t>
            </w:r>
            <w:r>
              <w:rPr>
                <w:rFonts w:ascii="宋体" w:eastAsia="宋体" w:hAnsi="宋体" w:cs="宋体"/>
                <w:sz w:val="18"/>
                <w:szCs w:val="18"/>
              </w:rPr>
              <w:lastRenderedPageBreak/>
              <w:t>86</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lastRenderedPageBreak/>
              <w:t>817,036.</w:t>
            </w:r>
            <w:r>
              <w:rPr>
                <w:rFonts w:ascii="宋体" w:eastAsia="宋体" w:hAnsi="宋体" w:cs="宋体"/>
                <w:sz w:val="18"/>
                <w:szCs w:val="18"/>
              </w:rPr>
              <w:lastRenderedPageBreak/>
              <w:t>35</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1．本期提取</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1,324,220.43</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1,324,220.43</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323,577.40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1,647,797.83</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743,373.94</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743,373.94</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87,387.54</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830,761.48</w:t>
            </w: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442,631,734.00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760,626,848.99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27,194,333.40</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5,897,912.92</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339,678,471.67</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1,609,597,227.59</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22,996,634.06</w:t>
            </w:r>
          </w:p>
        </w:tc>
        <w:tc>
          <w:tcPr>
            <w:tcW w:w="602"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1,632,593,861.65</w:t>
            </w:r>
          </w:p>
        </w:tc>
      </w:tr>
    </w:tbl>
    <w:p w:rsidR="00A27D66" w:rsidRDefault="00A2119D">
      <w:pPr>
        <w:pStyle w:val="3"/>
        <w:spacing w:line="280" w:lineRule="exact"/>
        <w:jc w:val="left"/>
        <w:rPr>
          <w:rFonts w:ascii="宋体" w:hAnsi="宋体" w:cs="宋体"/>
          <w:b/>
          <w:bCs/>
        </w:rPr>
      </w:pPr>
      <w:bookmarkStart w:id="161" w:name="_Toc989046"/>
      <w:r>
        <w:rPr>
          <w:rFonts w:ascii="宋体" w:hAnsi="宋体" w:cs="宋体"/>
          <w:b/>
          <w:bCs/>
        </w:rPr>
        <w:t>8、母公司所有者权益变动表</w:t>
      </w:r>
      <w:bookmarkEnd w:id="161"/>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本期金额</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1"/>
        <w:gridCol w:w="741"/>
        <w:gridCol w:w="741"/>
        <w:gridCol w:w="741"/>
        <w:gridCol w:w="742"/>
        <w:gridCol w:w="741"/>
        <w:gridCol w:w="741"/>
        <w:gridCol w:w="741"/>
        <w:gridCol w:w="741"/>
        <w:gridCol w:w="741"/>
        <w:gridCol w:w="741"/>
        <w:gridCol w:w="741"/>
        <w:gridCol w:w="746"/>
      </w:tblGrid>
      <w:tr w:rsidR="00A27D66">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898"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2024年度</w:t>
            </w:r>
          </w:p>
        </w:tc>
      </w:tr>
      <w:tr w:rsidR="00A27D66">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A27D66">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442,631,734.00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906,141,745.85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28,327,733.40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100,955,257.65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1,513,088,292.46</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442,631,734.00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906,141,745.85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28,327,733.40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100,955,257.65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1,513,088,292.46</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w:t>
            </w:r>
            <w:r>
              <w:rPr>
                <w:rFonts w:ascii="宋体" w:eastAsia="宋体" w:hAnsi="宋体" w:cs="宋体"/>
                <w:sz w:val="18"/>
                <w:szCs w:val="18"/>
              </w:rPr>
              <w:lastRenderedPageBreak/>
              <w:t>”号填列）</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lastRenderedPageBreak/>
              <w:t>-6,213,520.00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-51,147,500.92</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-30,742,032.92</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3,456,221.57</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A7649">
            <w:pPr>
              <w:spacing w:line="240" w:lineRule="exact"/>
              <w:jc w:val="right"/>
              <w:rPr>
                <w:rFonts w:ascii="宋体" w:eastAsia="宋体" w:hAnsi="宋体" w:cs="宋体"/>
                <w:sz w:val="18"/>
                <w:szCs w:val="18"/>
              </w:rPr>
            </w:pPr>
            <w:r w:rsidRPr="00AA7649">
              <w:rPr>
                <w:rFonts w:ascii="宋体" w:eastAsia="宋体" w:hAnsi="宋体" w:cs="宋体"/>
                <w:sz w:val="18"/>
                <w:szCs w:val="18"/>
              </w:rPr>
              <w:t>1,858,581.53</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A7649">
            <w:pPr>
              <w:spacing w:line="240" w:lineRule="exact"/>
              <w:jc w:val="right"/>
              <w:rPr>
                <w:rFonts w:ascii="宋体" w:eastAsia="宋体" w:hAnsi="宋体" w:cs="宋体"/>
                <w:sz w:val="18"/>
                <w:szCs w:val="18"/>
              </w:rPr>
            </w:pPr>
            <w:r w:rsidRPr="00AA7649">
              <w:rPr>
                <w:rFonts w:ascii="宋体" w:eastAsia="宋体" w:hAnsi="宋体" w:cs="宋体"/>
                <w:sz w:val="18"/>
                <w:szCs w:val="18"/>
              </w:rPr>
              <w:t>16,727,233.81</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A7649">
            <w:pPr>
              <w:spacing w:line="240" w:lineRule="exact"/>
              <w:jc w:val="right"/>
              <w:rPr>
                <w:rFonts w:ascii="宋体" w:eastAsia="宋体" w:hAnsi="宋体" w:cs="宋体"/>
                <w:sz w:val="18"/>
                <w:szCs w:val="18"/>
              </w:rPr>
            </w:pPr>
            <w:r w:rsidRPr="00AA7649">
              <w:rPr>
                <w:rFonts w:ascii="宋体" w:eastAsia="宋体" w:hAnsi="宋体" w:cs="宋体"/>
                <w:sz w:val="18"/>
                <w:szCs w:val="18"/>
              </w:rPr>
              <w:t>-6,040,846.04</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（一）综合收益总额</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8,131,196.40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A7649">
            <w:pPr>
              <w:spacing w:line="240" w:lineRule="exact"/>
              <w:jc w:val="right"/>
              <w:rPr>
                <w:rFonts w:ascii="宋体" w:eastAsia="宋体" w:hAnsi="宋体" w:cs="宋体"/>
                <w:sz w:val="18"/>
                <w:szCs w:val="18"/>
              </w:rPr>
            </w:pPr>
            <w:r w:rsidRPr="00AA7649">
              <w:rPr>
                <w:rFonts w:ascii="宋体" w:eastAsia="宋体" w:hAnsi="宋体" w:cs="宋体"/>
                <w:sz w:val="18"/>
                <w:szCs w:val="18"/>
              </w:rPr>
              <w:t>13,910,840.51</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A7649">
            <w:pPr>
              <w:spacing w:line="240" w:lineRule="exact"/>
              <w:jc w:val="right"/>
              <w:rPr>
                <w:rFonts w:ascii="宋体" w:eastAsia="宋体" w:hAnsi="宋体" w:cs="宋体"/>
                <w:sz w:val="18"/>
                <w:szCs w:val="18"/>
              </w:rPr>
            </w:pPr>
            <w:r w:rsidRPr="00AA7649">
              <w:rPr>
                <w:rFonts w:ascii="宋体" w:eastAsia="宋体" w:hAnsi="宋体" w:cs="宋体"/>
                <w:sz w:val="18"/>
                <w:szCs w:val="18"/>
              </w:rPr>
              <w:t>22,042,036.91</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-6,213,520.00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-51,147,500.92</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-30,742,032.92</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-6,213,520.00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-51,147,500.92</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A7649">
            <w:pPr>
              <w:spacing w:line="240" w:lineRule="exact"/>
              <w:jc w:val="right"/>
              <w:rPr>
                <w:rFonts w:ascii="宋体" w:eastAsia="宋体" w:hAnsi="宋体" w:cs="宋体"/>
                <w:sz w:val="18"/>
                <w:szCs w:val="18"/>
              </w:rPr>
            </w:pPr>
            <w:r w:rsidRPr="00AA7649">
              <w:rPr>
                <w:rFonts w:ascii="宋体" w:eastAsia="宋体" w:hAnsi="宋体" w:cs="宋体"/>
                <w:sz w:val="18"/>
                <w:szCs w:val="18"/>
              </w:rPr>
              <w:t>1,391,084.05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A7649">
            <w:pPr>
              <w:spacing w:line="240" w:lineRule="exact"/>
              <w:jc w:val="right"/>
              <w:rPr>
                <w:rFonts w:ascii="宋体" w:eastAsia="宋体" w:hAnsi="宋体" w:cs="宋体"/>
                <w:sz w:val="18"/>
                <w:szCs w:val="18"/>
              </w:rPr>
            </w:pPr>
            <w:r w:rsidRPr="00AA7649">
              <w:rPr>
                <w:rFonts w:ascii="宋体" w:eastAsia="宋体" w:hAnsi="宋体" w:cs="宋体"/>
                <w:sz w:val="18"/>
                <w:szCs w:val="18"/>
              </w:rPr>
              <w:t>-1,391,084.05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A7649">
            <w:pPr>
              <w:spacing w:line="240" w:lineRule="exact"/>
              <w:jc w:val="right"/>
              <w:rPr>
                <w:rFonts w:ascii="宋体" w:eastAsia="宋体" w:hAnsi="宋体" w:cs="宋体"/>
                <w:sz w:val="18"/>
                <w:szCs w:val="18"/>
              </w:rPr>
            </w:pPr>
            <w:r w:rsidRPr="00AA7649">
              <w:rPr>
                <w:rFonts w:ascii="宋体" w:eastAsia="宋体" w:hAnsi="宋体" w:cs="宋体"/>
                <w:sz w:val="18"/>
                <w:szCs w:val="18"/>
              </w:rPr>
              <w:t>1,391,084.05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A7649">
            <w:pPr>
              <w:spacing w:line="240" w:lineRule="exact"/>
              <w:jc w:val="right"/>
              <w:rPr>
                <w:rFonts w:ascii="宋体" w:eastAsia="宋体" w:hAnsi="宋体" w:cs="宋体"/>
                <w:sz w:val="18"/>
                <w:szCs w:val="18"/>
              </w:rPr>
            </w:pPr>
            <w:r w:rsidRPr="00AA7649">
              <w:rPr>
                <w:rFonts w:ascii="宋体" w:eastAsia="宋体" w:hAnsi="宋体" w:cs="宋体"/>
                <w:sz w:val="18"/>
                <w:szCs w:val="18"/>
              </w:rPr>
              <w:t>-1,391,084.05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w:t>
            </w:r>
            <w:r>
              <w:rPr>
                <w:rFonts w:ascii="宋体" w:eastAsia="宋体" w:hAnsi="宋体" w:cs="宋体"/>
                <w:sz w:val="18"/>
                <w:szCs w:val="18"/>
              </w:rPr>
              <w:lastRenderedPageBreak/>
              <w:t>配</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3．其他</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-4,674,974.83</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467,497.48</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4,207,477.35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-4,674,974.83</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467,497.48</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4,207,477.35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-1,463,894.95</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2．本期使用</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1,463,894.95</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436,418,214.00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854,994,244.93</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31,783,954.97</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A7649">
            <w:pPr>
              <w:spacing w:line="240" w:lineRule="exact"/>
              <w:jc w:val="right"/>
              <w:rPr>
                <w:rFonts w:ascii="宋体" w:eastAsia="宋体" w:hAnsi="宋体" w:cs="宋体"/>
                <w:sz w:val="18"/>
                <w:szCs w:val="18"/>
              </w:rPr>
            </w:pPr>
            <w:r w:rsidRPr="00AA7649">
              <w:rPr>
                <w:rFonts w:ascii="宋体" w:eastAsia="宋体" w:hAnsi="宋体" w:cs="宋体"/>
                <w:sz w:val="18"/>
                <w:szCs w:val="18"/>
              </w:rPr>
              <w:t>92,787,529.06</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A7649">
            <w:pPr>
              <w:spacing w:line="240" w:lineRule="exact"/>
              <w:jc w:val="right"/>
              <w:rPr>
                <w:rFonts w:ascii="宋体" w:eastAsia="宋体" w:hAnsi="宋体" w:cs="宋体"/>
                <w:sz w:val="18"/>
                <w:szCs w:val="18"/>
              </w:rPr>
            </w:pPr>
            <w:r w:rsidRPr="00AA7649">
              <w:rPr>
                <w:rFonts w:ascii="宋体" w:eastAsia="宋体" w:hAnsi="宋体" w:cs="宋体"/>
                <w:sz w:val="18"/>
                <w:szCs w:val="18"/>
              </w:rPr>
              <w:t>117,682,491.46</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A7649">
            <w:pPr>
              <w:spacing w:line="240" w:lineRule="exact"/>
              <w:jc w:val="right"/>
              <w:rPr>
                <w:rFonts w:ascii="宋体" w:eastAsia="宋体" w:hAnsi="宋体" w:cs="宋体"/>
                <w:sz w:val="18"/>
                <w:szCs w:val="18"/>
              </w:rPr>
            </w:pPr>
            <w:r w:rsidRPr="00AA7649">
              <w:rPr>
                <w:rFonts w:ascii="宋体" w:eastAsia="宋体" w:hAnsi="宋体" w:cs="宋体"/>
                <w:sz w:val="18"/>
                <w:szCs w:val="18"/>
              </w:rPr>
              <w:t>1,507,047,446.42</w:t>
            </w:r>
          </w:p>
        </w:tc>
      </w:tr>
    </w:tbl>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上期金额</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41"/>
        <w:gridCol w:w="741"/>
        <w:gridCol w:w="741"/>
        <w:gridCol w:w="741"/>
        <w:gridCol w:w="742"/>
        <w:gridCol w:w="741"/>
        <w:gridCol w:w="741"/>
        <w:gridCol w:w="741"/>
        <w:gridCol w:w="741"/>
        <w:gridCol w:w="741"/>
        <w:gridCol w:w="741"/>
        <w:gridCol w:w="741"/>
        <w:gridCol w:w="746"/>
      </w:tblGrid>
      <w:tr w:rsidR="00A27D66">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898"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2023年度</w:t>
            </w:r>
          </w:p>
        </w:tc>
      </w:tr>
      <w:tr w:rsidR="00A27D66">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A27D66">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vAlign w:val="center"/>
          </w:tcPr>
          <w:p w:rsidR="00A27D66" w:rsidRDefault="00A27D66"/>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854,298,803.51</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65,326,541.77</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305,562,720.77</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1,629,789,148.99</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442,861,324.00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854,298,803.51</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65,326,541.77</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305,562,720.77</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1,629,789,148.99</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-229,590.00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51,842,942.34</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-7,965,520.85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28,327,733.40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-204,607,463.12</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-116,700,856.53</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28,327,733.40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-204,607,463.12</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-176,279,729.72</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（二）所有者投入和减少资本</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-229,590.00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51,842,942.34</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-7,965,520.85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59,578,873.19</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-6,153,193.50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-7,965,520.85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1,812,327.35</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-229,590.00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57,996,135.84</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57,766,545.84</w:t>
            </w: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1．资本公积转增资本（或股本）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四、本期期末</w:t>
            </w:r>
            <w:r>
              <w:rPr>
                <w:rFonts w:ascii="宋体" w:eastAsia="宋体" w:hAnsi="宋体" w:cs="宋体"/>
                <w:sz w:val="18"/>
                <w:szCs w:val="18"/>
              </w:rPr>
              <w:lastRenderedPageBreak/>
              <w:t>余额</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lastRenderedPageBreak/>
              <w:t>442,631,734.00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906,141,745.85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28,327,733.40</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100,955,257.65</w:t>
            </w: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1,513,088,292.4</w:t>
            </w:r>
            <w:r>
              <w:rPr>
                <w:rFonts w:ascii="宋体" w:eastAsia="宋体" w:hAnsi="宋体" w:cs="宋体"/>
                <w:sz w:val="18"/>
                <w:szCs w:val="18"/>
              </w:rPr>
              <w:lastRenderedPageBreak/>
              <w:t>6</w:t>
            </w:r>
          </w:p>
        </w:tc>
      </w:tr>
    </w:tbl>
    <w:p w:rsidR="00A27D66" w:rsidRDefault="00A2119D">
      <w:pPr>
        <w:pStyle w:val="2"/>
        <w:spacing w:before="300" w:after="300" w:line="320" w:lineRule="exact"/>
        <w:rPr>
          <w:rFonts w:ascii="宋体" w:eastAsia="宋体" w:hAnsi="宋体" w:cs="宋体"/>
          <w:b/>
          <w:bCs/>
          <w:sz w:val="24"/>
          <w:szCs w:val="24"/>
        </w:rPr>
      </w:pPr>
      <w:bookmarkStart w:id="162" w:name="_Toc989047"/>
      <w:r>
        <w:rPr>
          <w:rFonts w:ascii="宋体" w:eastAsia="宋体" w:hAnsi="宋体" w:cs="宋体"/>
          <w:b/>
          <w:bCs/>
          <w:sz w:val="24"/>
          <w:szCs w:val="24"/>
        </w:rPr>
        <w:lastRenderedPageBreak/>
        <w:t>三、公司基本情况</w:t>
      </w:r>
      <w:bookmarkEnd w:id="162"/>
    </w:p>
    <w:p w:rsidR="00A2119D" w:rsidRDefault="00A2119D">
      <w:pPr>
        <w:pStyle w:val="a3"/>
        <w:spacing w:before="120" w:beforeAutospacing="0" w:after="0" w:afterAutospacing="0" w:line="360" w:lineRule="auto"/>
        <w:ind w:firstLine="422"/>
        <w:jc w:val="both"/>
        <w:divId w:val="1579821652"/>
        <w:rPr>
          <w:rFonts w:ascii="Times New Roman" w:hAnsi="Times New Roman" w:cs="Times New Roman"/>
          <w:sz w:val="21"/>
          <w:szCs w:val="21"/>
        </w:rPr>
      </w:pPr>
      <w:r>
        <w:rPr>
          <w:rStyle w:val="a4"/>
          <w:rFonts w:cs="Times New Roman" w:hint="eastAsia"/>
          <w:color w:val="000000"/>
          <w:sz w:val="21"/>
          <w:szCs w:val="21"/>
        </w:rPr>
        <w:t>1、公司概况</w:t>
      </w:r>
    </w:p>
    <w:p w:rsidR="00A2119D" w:rsidRPr="0095463F" w:rsidRDefault="00A2119D" w:rsidP="0095463F">
      <w:pPr>
        <w:pStyle w:val="a3"/>
        <w:spacing w:before="0" w:beforeAutospacing="0" w:after="0" w:afterAutospacing="0" w:line="360" w:lineRule="auto"/>
        <w:ind w:firstLine="420"/>
        <w:jc w:val="both"/>
        <w:divId w:val="1579821652"/>
        <w:rPr>
          <w:rFonts w:cs="Times New Roman"/>
          <w:sz w:val="21"/>
          <w:szCs w:val="21"/>
        </w:rPr>
      </w:pPr>
      <w:r w:rsidRPr="0095463F">
        <w:rPr>
          <w:rFonts w:cs="Times New Roman" w:hint="eastAsia"/>
          <w:color w:val="000000"/>
          <w:sz w:val="21"/>
          <w:szCs w:val="21"/>
        </w:rPr>
        <w:t>广东甘化科工股份有限公司（以下简称甘化科工公司、本公司或公司），成立于</w:t>
      </w:r>
      <w:r w:rsidRPr="0095463F">
        <w:rPr>
          <w:rFonts w:cs="Times New Roman"/>
          <w:color w:val="000000"/>
          <w:sz w:val="21"/>
          <w:szCs w:val="21"/>
        </w:rPr>
        <w:t>1993</w:t>
      </w:r>
      <w:r w:rsidRPr="0095463F">
        <w:rPr>
          <w:rFonts w:cs="Times New Roman" w:hint="eastAsia"/>
          <w:color w:val="000000"/>
          <w:sz w:val="21"/>
          <w:szCs w:val="21"/>
        </w:rPr>
        <w:t>年</w:t>
      </w:r>
      <w:r w:rsidRPr="0095463F">
        <w:rPr>
          <w:rFonts w:cs="Times New Roman"/>
          <w:color w:val="000000"/>
          <w:sz w:val="21"/>
          <w:szCs w:val="21"/>
        </w:rPr>
        <w:t>4</w:t>
      </w:r>
      <w:r w:rsidRPr="0095463F">
        <w:rPr>
          <w:rFonts w:cs="Times New Roman" w:hint="eastAsia"/>
          <w:color w:val="000000"/>
          <w:sz w:val="21"/>
          <w:szCs w:val="21"/>
        </w:rPr>
        <w:t>月</w:t>
      </w:r>
      <w:r w:rsidRPr="0095463F">
        <w:rPr>
          <w:rFonts w:cs="Times New Roman"/>
          <w:color w:val="000000"/>
          <w:sz w:val="21"/>
          <w:szCs w:val="21"/>
        </w:rPr>
        <w:t>15</w:t>
      </w:r>
      <w:r w:rsidRPr="0095463F">
        <w:rPr>
          <w:rFonts w:cs="Times New Roman" w:hint="eastAsia"/>
          <w:color w:val="000000"/>
          <w:sz w:val="21"/>
          <w:szCs w:val="21"/>
        </w:rPr>
        <w:t>日，在江门市市场监督管理局登记注册。现统一社会信用代码为</w:t>
      </w:r>
      <w:r w:rsidRPr="0095463F">
        <w:rPr>
          <w:rFonts w:cs="Times New Roman"/>
          <w:color w:val="000000"/>
          <w:sz w:val="21"/>
          <w:szCs w:val="21"/>
        </w:rPr>
        <w:t>91440700190357288E</w:t>
      </w:r>
      <w:r w:rsidRPr="0095463F">
        <w:rPr>
          <w:rFonts w:cs="Times New Roman" w:hint="eastAsia"/>
          <w:color w:val="000000"/>
          <w:sz w:val="21"/>
          <w:szCs w:val="21"/>
        </w:rPr>
        <w:t>，注册资本人民币</w:t>
      </w:r>
      <w:r w:rsidRPr="0095463F">
        <w:rPr>
          <w:rFonts w:cs="Times New Roman"/>
          <w:color w:val="000000"/>
          <w:sz w:val="21"/>
          <w:szCs w:val="21"/>
        </w:rPr>
        <w:t>43,641.82</w:t>
      </w:r>
      <w:r w:rsidRPr="0095463F">
        <w:rPr>
          <w:rFonts w:cs="Times New Roman" w:hint="eastAsia"/>
          <w:color w:val="000000"/>
          <w:sz w:val="21"/>
          <w:szCs w:val="21"/>
        </w:rPr>
        <w:t>万元。法定代表人李忠。</w:t>
      </w:r>
    </w:p>
    <w:p w:rsidR="00A2119D" w:rsidRPr="0095463F" w:rsidRDefault="00A2119D" w:rsidP="0095463F">
      <w:pPr>
        <w:pStyle w:val="a3"/>
        <w:spacing w:before="0" w:beforeAutospacing="0" w:after="0" w:afterAutospacing="0" w:line="360" w:lineRule="auto"/>
        <w:ind w:firstLine="420"/>
        <w:jc w:val="both"/>
        <w:divId w:val="1579821652"/>
        <w:rPr>
          <w:rFonts w:cs="Times New Roman"/>
          <w:sz w:val="21"/>
          <w:szCs w:val="21"/>
        </w:rPr>
      </w:pPr>
      <w:r w:rsidRPr="0095463F">
        <w:rPr>
          <w:rFonts w:cs="Times New Roman" w:hint="eastAsia"/>
          <w:color w:val="000000"/>
          <w:sz w:val="21"/>
          <w:szCs w:val="21"/>
        </w:rPr>
        <w:t>公司原名江门甘蔗化工厂（集团）股份有限公司，于</w:t>
      </w:r>
      <w:r w:rsidRPr="0095463F">
        <w:rPr>
          <w:rFonts w:cs="Times New Roman"/>
          <w:color w:val="000000"/>
          <w:sz w:val="21"/>
          <w:szCs w:val="21"/>
        </w:rPr>
        <w:t>2020</w:t>
      </w:r>
      <w:r w:rsidRPr="0095463F">
        <w:rPr>
          <w:rFonts w:cs="Times New Roman" w:hint="eastAsia"/>
          <w:color w:val="000000"/>
          <w:sz w:val="21"/>
          <w:szCs w:val="21"/>
        </w:rPr>
        <w:t>年</w:t>
      </w:r>
      <w:r w:rsidRPr="0095463F">
        <w:rPr>
          <w:rFonts w:cs="Times New Roman"/>
          <w:color w:val="000000"/>
          <w:sz w:val="21"/>
          <w:szCs w:val="21"/>
        </w:rPr>
        <w:t>10</w:t>
      </w:r>
      <w:r w:rsidRPr="0095463F">
        <w:rPr>
          <w:rFonts w:cs="Times New Roman" w:hint="eastAsia"/>
          <w:color w:val="000000"/>
          <w:sz w:val="21"/>
          <w:szCs w:val="21"/>
        </w:rPr>
        <w:t>月</w:t>
      </w:r>
      <w:r w:rsidRPr="0095463F">
        <w:rPr>
          <w:rFonts w:cs="Times New Roman"/>
          <w:color w:val="000000"/>
          <w:sz w:val="21"/>
          <w:szCs w:val="21"/>
        </w:rPr>
        <w:t>30</w:t>
      </w:r>
      <w:r w:rsidRPr="0095463F">
        <w:rPr>
          <w:rFonts w:cs="Times New Roman" w:hint="eastAsia"/>
          <w:color w:val="000000"/>
          <w:sz w:val="21"/>
          <w:szCs w:val="21"/>
        </w:rPr>
        <w:t>日变更为广东甘化科工股份有限公司。</w:t>
      </w:r>
    </w:p>
    <w:p w:rsidR="00A2119D" w:rsidRDefault="00A2119D">
      <w:pPr>
        <w:pStyle w:val="a3"/>
        <w:spacing w:before="120" w:beforeAutospacing="0" w:after="0" w:afterAutospacing="0" w:line="360" w:lineRule="auto"/>
        <w:ind w:firstLine="422"/>
        <w:jc w:val="both"/>
        <w:divId w:val="1579821652"/>
        <w:rPr>
          <w:rFonts w:ascii="Times New Roman" w:hAnsi="Times New Roman" w:cs="Times New Roman"/>
          <w:sz w:val="21"/>
          <w:szCs w:val="21"/>
        </w:rPr>
      </w:pPr>
      <w:r>
        <w:rPr>
          <w:rStyle w:val="a4"/>
          <w:rFonts w:ascii="Times New Roman" w:hAnsi="Times New Roman" w:cs="Times New Roman"/>
          <w:color w:val="000000"/>
          <w:sz w:val="21"/>
          <w:szCs w:val="21"/>
        </w:rPr>
        <w:t>2</w:t>
      </w:r>
      <w:r>
        <w:rPr>
          <w:rStyle w:val="a4"/>
          <w:rFonts w:cs="Times New Roman" w:hint="eastAsia"/>
          <w:color w:val="000000"/>
          <w:sz w:val="21"/>
          <w:szCs w:val="21"/>
        </w:rPr>
        <w:t>、公司注册地址及总部办公地址</w:t>
      </w:r>
    </w:p>
    <w:p w:rsidR="00A2119D" w:rsidRPr="0095463F" w:rsidRDefault="00A2119D" w:rsidP="0095463F">
      <w:pPr>
        <w:pStyle w:val="a3"/>
        <w:spacing w:before="0" w:beforeAutospacing="0" w:after="0" w:afterAutospacing="0" w:line="360" w:lineRule="auto"/>
        <w:ind w:firstLine="420"/>
        <w:jc w:val="both"/>
        <w:divId w:val="1579821652"/>
        <w:rPr>
          <w:rFonts w:cs="Times New Roman"/>
          <w:color w:val="000000"/>
          <w:sz w:val="21"/>
          <w:szCs w:val="21"/>
        </w:rPr>
      </w:pPr>
      <w:r>
        <w:rPr>
          <w:rFonts w:cs="Times New Roman" w:hint="eastAsia"/>
          <w:color w:val="000000"/>
          <w:sz w:val="21"/>
          <w:szCs w:val="21"/>
        </w:rPr>
        <w:t>公司总部的经营地址江门市蓬江区甘化路</w:t>
      </w:r>
      <w:r w:rsidRPr="0095463F">
        <w:rPr>
          <w:rFonts w:cs="Times New Roman"/>
          <w:color w:val="000000"/>
          <w:sz w:val="21"/>
          <w:szCs w:val="21"/>
        </w:rPr>
        <w:t>62</w:t>
      </w:r>
      <w:r>
        <w:rPr>
          <w:rFonts w:cs="Times New Roman" w:hint="eastAsia"/>
          <w:color w:val="000000"/>
          <w:sz w:val="21"/>
          <w:szCs w:val="21"/>
        </w:rPr>
        <w:t>号。</w:t>
      </w:r>
    </w:p>
    <w:p w:rsidR="00A2119D" w:rsidRDefault="00A2119D">
      <w:pPr>
        <w:pStyle w:val="a3"/>
        <w:spacing w:before="120" w:beforeAutospacing="0" w:after="0" w:afterAutospacing="0" w:line="360" w:lineRule="auto"/>
        <w:ind w:firstLine="422"/>
        <w:jc w:val="both"/>
        <w:divId w:val="1579821652"/>
        <w:rPr>
          <w:rFonts w:ascii="Times New Roman" w:hAnsi="Times New Roman" w:cs="Times New Roman"/>
          <w:sz w:val="21"/>
          <w:szCs w:val="21"/>
        </w:rPr>
      </w:pPr>
      <w:r>
        <w:rPr>
          <w:rStyle w:val="a4"/>
          <w:rFonts w:ascii="Times New Roman" w:hAnsi="Times New Roman" w:cs="Times New Roman"/>
          <w:color w:val="000000"/>
          <w:sz w:val="21"/>
          <w:szCs w:val="21"/>
        </w:rPr>
        <w:t>3</w:t>
      </w:r>
      <w:r>
        <w:rPr>
          <w:rStyle w:val="a4"/>
          <w:rFonts w:cs="Times New Roman" w:hint="eastAsia"/>
          <w:color w:val="000000"/>
          <w:sz w:val="21"/>
          <w:szCs w:val="21"/>
        </w:rPr>
        <w:t>、公司主要经营活动</w:t>
      </w:r>
    </w:p>
    <w:p w:rsidR="00A2119D" w:rsidRPr="0095463F" w:rsidRDefault="00A2119D" w:rsidP="0095463F">
      <w:pPr>
        <w:pStyle w:val="a3"/>
        <w:spacing w:before="0" w:beforeAutospacing="0" w:after="0" w:afterAutospacing="0" w:line="360" w:lineRule="auto"/>
        <w:ind w:firstLine="420"/>
        <w:jc w:val="both"/>
        <w:divId w:val="1579821652"/>
        <w:rPr>
          <w:rFonts w:cs="Times New Roman"/>
          <w:color w:val="000000"/>
          <w:sz w:val="21"/>
          <w:szCs w:val="21"/>
        </w:rPr>
      </w:pPr>
      <w:r>
        <w:rPr>
          <w:rFonts w:cs="Times New Roman" w:hint="eastAsia"/>
          <w:color w:val="000000"/>
          <w:sz w:val="21"/>
          <w:szCs w:val="21"/>
        </w:rPr>
        <w:t>公司主要的经营活动为电源及相关产品、高性能特种合金材料制品等军工产品的研发、生产、销售。</w:t>
      </w:r>
    </w:p>
    <w:p w:rsidR="00A2119D" w:rsidRDefault="00A2119D">
      <w:pPr>
        <w:pStyle w:val="a3"/>
        <w:spacing w:before="120" w:beforeAutospacing="0" w:after="0" w:afterAutospacing="0" w:line="360" w:lineRule="auto"/>
        <w:ind w:firstLine="422"/>
        <w:jc w:val="both"/>
        <w:divId w:val="1579821652"/>
        <w:rPr>
          <w:rFonts w:ascii="Times New Roman" w:hAnsi="Times New Roman" w:cs="Times New Roman"/>
          <w:sz w:val="21"/>
          <w:szCs w:val="21"/>
        </w:rPr>
      </w:pPr>
      <w:r>
        <w:rPr>
          <w:rStyle w:val="a4"/>
          <w:rFonts w:ascii="Times New Roman" w:hAnsi="Times New Roman" w:cs="Times New Roman"/>
          <w:color w:val="000000"/>
          <w:sz w:val="21"/>
          <w:szCs w:val="21"/>
        </w:rPr>
        <w:t>4</w:t>
      </w:r>
      <w:r>
        <w:rPr>
          <w:rStyle w:val="a4"/>
          <w:rFonts w:cs="Times New Roman" w:hint="eastAsia"/>
          <w:color w:val="000000"/>
          <w:sz w:val="21"/>
          <w:szCs w:val="21"/>
        </w:rPr>
        <w:t>、财务报告的批准报出者和财务报告批准报出日</w:t>
      </w:r>
    </w:p>
    <w:p w:rsidR="00A2119D" w:rsidRPr="0095463F" w:rsidRDefault="00A2119D" w:rsidP="0095463F">
      <w:pPr>
        <w:pStyle w:val="a3"/>
        <w:spacing w:before="0" w:beforeAutospacing="0" w:after="0" w:afterAutospacing="0" w:line="360" w:lineRule="auto"/>
        <w:ind w:firstLine="420"/>
        <w:jc w:val="both"/>
        <w:divId w:val="1579821652"/>
        <w:rPr>
          <w:rFonts w:cs="Times New Roman"/>
          <w:color w:val="000000"/>
          <w:sz w:val="21"/>
          <w:szCs w:val="21"/>
        </w:rPr>
      </w:pPr>
      <w:r w:rsidRPr="0095463F">
        <w:rPr>
          <w:rFonts w:cs="Times New Roman" w:hint="eastAsia"/>
          <w:color w:val="000000"/>
          <w:sz w:val="21"/>
          <w:szCs w:val="21"/>
        </w:rPr>
        <w:t>本财务报告业经公司董事会于</w:t>
      </w:r>
      <w:r w:rsidRPr="0095463F">
        <w:rPr>
          <w:rFonts w:cs="Times New Roman"/>
          <w:color w:val="000000"/>
          <w:sz w:val="21"/>
          <w:szCs w:val="21"/>
        </w:rPr>
        <w:t>2025</w:t>
      </w:r>
      <w:r w:rsidRPr="0095463F">
        <w:rPr>
          <w:rFonts w:cs="Times New Roman" w:hint="eastAsia"/>
          <w:color w:val="000000"/>
          <w:sz w:val="21"/>
          <w:szCs w:val="21"/>
        </w:rPr>
        <w:t>年</w:t>
      </w:r>
      <w:r w:rsidRPr="0095463F">
        <w:rPr>
          <w:rFonts w:cs="Times New Roman"/>
          <w:color w:val="000000"/>
          <w:sz w:val="21"/>
          <w:szCs w:val="21"/>
        </w:rPr>
        <w:t>4</w:t>
      </w:r>
      <w:r w:rsidRPr="0095463F">
        <w:rPr>
          <w:rFonts w:cs="Times New Roman" w:hint="eastAsia"/>
          <w:color w:val="000000"/>
          <w:sz w:val="21"/>
          <w:szCs w:val="21"/>
        </w:rPr>
        <w:t>月</w:t>
      </w:r>
      <w:r w:rsidRPr="0095463F">
        <w:rPr>
          <w:rFonts w:cs="Times New Roman"/>
          <w:color w:val="000000"/>
          <w:sz w:val="21"/>
          <w:szCs w:val="21"/>
        </w:rPr>
        <w:t>17</w:t>
      </w:r>
      <w:r w:rsidRPr="0095463F">
        <w:rPr>
          <w:rFonts w:cs="Times New Roman" w:hint="eastAsia"/>
          <w:color w:val="000000"/>
          <w:sz w:val="21"/>
          <w:szCs w:val="21"/>
        </w:rPr>
        <w:t>日批准报出。</w:t>
      </w:r>
    </w:p>
    <w:p w:rsidR="00A27D66" w:rsidRPr="00426AD9" w:rsidRDefault="00A2119D" w:rsidP="00426AD9">
      <w:pPr>
        <w:pStyle w:val="2"/>
        <w:spacing w:before="300" w:after="300" w:line="560" w:lineRule="exact"/>
        <w:rPr>
          <w:rFonts w:ascii="宋体" w:eastAsia="宋体" w:hAnsi="宋体" w:cs="宋体"/>
          <w:b/>
          <w:bCs/>
          <w:sz w:val="24"/>
          <w:szCs w:val="24"/>
        </w:rPr>
      </w:pPr>
      <w:r w:rsidRPr="00426AD9">
        <w:rPr>
          <w:rFonts w:ascii="宋体" w:eastAsia="宋体" w:hAnsi="宋体" w:cs="宋体" w:hint="eastAsia"/>
          <w:b/>
          <w:bCs/>
          <w:sz w:val="24"/>
          <w:szCs w:val="24"/>
        </w:rPr>
        <w:t> </w:t>
      </w:r>
      <w:bookmarkStart w:id="163" w:name="_Toc989048"/>
      <w:r w:rsidRPr="00426AD9">
        <w:rPr>
          <w:rFonts w:ascii="宋体" w:eastAsia="宋体" w:hAnsi="宋体" w:cs="宋体"/>
          <w:b/>
          <w:bCs/>
          <w:sz w:val="24"/>
          <w:szCs w:val="24"/>
        </w:rPr>
        <w:t>四、财务报表的编制基础</w:t>
      </w:r>
      <w:bookmarkEnd w:id="163"/>
    </w:p>
    <w:p w:rsidR="00A27D66" w:rsidRDefault="00A2119D">
      <w:pPr>
        <w:pStyle w:val="3"/>
        <w:spacing w:line="280" w:lineRule="exact"/>
        <w:jc w:val="left"/>
        <w:rPr>
          <w:rFonts w:ascii="宋体" w:hAnsi="宋体" w:cs="宋体"/>
          <w:b/>
          <w:bCs/>
        </w:rPr>
      </w:pPr>
      <w:bookmarkStart w:id="164" w:name="_Toc989049"/>
      <w:r>
        <w:rPr>
          <w:rFonts w:ascii="宋体" w:hAnsi="宋体" w:cs="宋体"/>
          <w:b/>
          <w:bCs/>
        </w:rPr>
        <w:t>1、编制基础</w:t>
      </w:r>
      <w:bookmarkEnd w:id="164"/>
    </w:p>
    <w:p w:rsidR="00A2119D" w:rsidRDefault="00A2119D" w:rsidP="0095463F">
      <w:pPr>
        <w:pStyle w:val="a3"/>
        <w:spacing w:before="0" w:beforeAutospacing="0" w:after="0" w:afterAutospacing="0" w:line="360" w:lineRule="auto"/>
        <w:ind w:firstLine="420"/>
        <w:jc w:val="both"/>
        <w:divId w:val="2054845638"/>
        <w:rPr>
          <w:sz w:val="21"/>
          <w:szCs w:val="21"/>
        </w:rPr>
      </w:pPr>
      <w:r>
        <w:rPr>
          <w:rFonts w:hint="eastAsia"/>
          <w:color w:val="000000"/>
          <w:sz w:val="21"/>
          <w:szCs w:val="21"/>
        </w:rPr>
        <w:t>本公司以持续经营为基础，根据实际发生的交易和事项按照企业会计准则及其应用指南和准则解释的规定进行确认和计量，在此基础上编制财务报表。此外，公司还按照中国证监会《公开发行证券的公司信息披露编报规则第</w:t>
      </w:r>
      <w:r>
        <w:rPr>
          <w:rFonts w:ascii="Times New Roman" w:hAnsi="Times New Roman" w:cs="Times New Roman"/>
          <w:color w:val="000000"/>
          <w:sz w:val="21"/>
          <w:szCs w:val="21"/>
        </w:rPr>
        <w:t>15</w:t>
      </w:r>
      <w:r>
        <w:rPr>
          <w:rFonts w:hint="eastAsia"/>
          <w:color w:val="000000"/>
          <w:sz w:val="21"/>
          <w:szCs w:val="21"/>
        </w:rPr>
        <w:t>号——财务报告的一般规定（</w:t>
      </w:r>
      <w:r>
        <w:rPr>
          <w:rFonts w:ascii="Times New Roman" w:hAnsi="Times New Roman" w:cs="Times New Roman"/>
          <w:color w:val="000000"/>
          <w:sz w:val="21"/>
          <w:szCs w:val="21"/>
        </w:rPr>
        <w:t>2023</w:t>
      </w:r>
      <w:r>
        <w:rPr>
          <w:rFonts w:hint="eastAsia"/>
          <w:color w:val="000000"/>
          <w:sz w:val="21"/>
          <w:szCs w:val="21"/>
        </w:rPr>
        <w:t>年修订）》披露有关财务信息。</w:t>
      </w:r>
    </w:p>
    <w:p w:rsidR="00A27D66" w:rsidRDefault="00A2119D">
      <w:pPr>
        <w:pStyle w:val="3"/>
        <w:spacing w:line="280" w:lineRule="exact"/>
        <w:jc w:val="left"/>
        <w:rPr>
          <w:rFonts w:ascii="宋体" w:hAnsi="宋体" w:cs="宋体"/>
          <w:b/>
          <w:bCs/>
        </w:rPr>
      </w:pPr>
      <w:bookmarkStart w:id="165" w:name="_Toc989050"/>
      <w:r>
        <w:rPr>
          <w:rFonts w:ascii="宋体" w:hAnsi="宋体" w:cs="宋体"/>
          <w:b/>
          <w:bCs/>
        </w:rPr>
        <w:t>2、持续经营</w:t>
      </w:r>
      <w:bookmarkEnd w:id="165"/>
    </w:p>
    <w:p w:rsidR="00A2119D" w:rsidRPr="0095463F" w:rsidRDefault="00A2119D" w:rsidP="0095463F">
      <w:pPr>
        <w:pStyle w:val="a3"/>
        <w:spacing w:before="0" w:beforeAutospacing="0" w:after="0" w:afterAutospacing="0" w:line="360" w:lineRule="auto"/>
        <w:ind w:firstLine="420"/>
        <w:jc w:val="both"/>
        <w:divId w:val="1939361406"/>
        <w:rPr>
          <w:color w:val="000000"/>
          <w:sz w:val="21"/>
          <w:szCs w:val="21"/>
        </w:rPr>
      </w:pPr>
      <w:r>
        <w:rPr>
          <w:rFonts w:hint="eastAsia"/>
          <w:color w:val="000000"/>
          <w:sz w:val="21"/>
          <w:szCs w:val="21"/>
        </w:rPr>
        <w:t>本公司自本报告</w:t>
      </w:r>
      <w:proofErr w:type="gramStart"/>
      <w:r>
        <w:rPr>
          <w:rFonts w:hint="eastAsia"/>
          <w:color w:val="000000"/>
          <w:sz w:val="21"/>
          <w:szCs w:val="21"/>
        </w:rPr>
        <w:t>期末起</w:t>
      </w:r>
      <w:proofErr w:type="gramEnd"/>
      <w:r w:rsidRPr="0095463F">
        <w:rPr>
          <w:color w:val="000000"/>
          <w:sz w:val="21"/>
          <w:szCs w:val="21"/>
        </w:rPr>
        <w:t>12</w:t>
      </w:r>
      <w:r>
        <w:rPr>
          <w:rFonts w:hint="eastAsia"/>
          <w:color w:val="000000"/>
          <w:sz w:val="21"/>
          <w:szCs w:val="21"/>
        </w:rPr>
        <w:t>个月具备持续经营能力，无影响持续经营能力的重大事项。</w:t>
      </w:r>
    </w:p>
    <w:p w:rsidR="00A27D66" w:rsidRDefault="00A2119D">
      <w:pPr>
        <w:pStyle w:val="2"/>
        <w:spacing w:before="300" w:after="300" w:line="560" w:lineRule="exact"/>
        <w:rPr>
          <w:rFonts w:ascii="宋体" w:eastAsia="宋体" w:hAnsi="宋体" w:cs="宋体"/>
          <w:b/>
          <w:bCs/>
          <w:sz w:val="24"/>
          <w:szCs w:val="24"/>
        </w:rPr>
      </w:pPr>
      <w:bookmarkStart w:id="166" w:name="_Toc989051"/>
      <w:r>
        <w:rPr>
          <w:rFonts w:ascii="宋体" w:eastAsia="宋体" w:hAnsi="宋体" w:cs="宋体"/>
          <w:b/>
          <w:bCs/>
          <w:sz w:val="24"/>
          <w:szCs w:val="24"/>
        </w:rPr>
        <w:t>五、重要会计政策及会计估计</w:t>
      </w:r>
      <w:bookmarkEnd w:id="166"/>
    </w:p>
    <w:p w:rsidR="00A27D66" w:rsidRPr="0095463F" w:rsidRDefault="00A2119D" w:rsidP="0095463F">
      <w:pPr>
        <w:pStyle w:val="a3"/>
        <w:spacing w:before="0" w:beforeAutospacing="0" w:after="0" w:afterAutospacing="0" w:line="360" w:lineRule="auto"/>
        <w:ind w:firstLine="420"/>
        <w:jc w:val="both"/>
        <w:rPr>
          <w:color w:val="000000"/>
          <w:sz w:val="21"/>
          <w:szCs w:val="21"/>
        </w:rPr>
      </w:pPr>
      <w:r w:rsidRPr="0095463F">
        <w:rPr>
          <w:color w:val="000000"/>
          <w:sz w:val="21"/>
          <w:szCs w:val="21"/>
        </w:rPr>
        <w:t>具体会计政策和会计估计提示：</w:t>
      </w:r>
    </w:p>
    <w:p w:rsidR="00A2119D" w:rsidRPr="0095463F" w:rsidRDefault="00A2119D" w:rsidP="0095463F">
      <w:pPr>
        <w:pStyle w:val="a3"/>
        <w:spacing w:before="0" w:beforeAutospacing="0" w:after="0" w:afterAutospacing="0" w:line="360" w:lineRule="auto"/>
        <w:ind w:firstLine="420"/>
        <w:jc w:val="both"/>
        <w:divId w:val="1144202234"/>
        <w:rPr>
          <w:color w:val="000000"/>
          <w:sz w:val="21"/>
          <w:szCs w:val="21"/>
        </w:rPr>
      </w:pPr>
      <w:r>
        <w:rPr>
          <w:rFonts w:hint="eastAsia"/>
          <w:color w:val="000000"/>
          <w:sz w:val="21"/>
          <w:szCs w:val="21"/>
        </w:rPr>
        <w:lastRenderedPageBreak/>
        <w:t>本公司根据实际生产经营特点，按照企业会计准则的相关规定，针对收入确认、存货计价方法、金融工具的计量、固定资产折旧等交易或事项制定了具体会计政策和会计估计，详见本附注</w:t>
      </w:r>
      <w:proofErr w:type="gramStart"/>
      <w:r>
        <w:rPr>
          <w:rFonts w:hint="eastAsia"/>
          <w:color w:val="000000"/>
          <w:sz w:val="21"/>
          <w:szCs w:val="21"/>
        </w:rPr>
        <w:t>五各项</w:t>
      </w:r>
      <w:proofErr w:type="gramEnd"/>
      <w:r>
        <w:rPr>
          <w:rFonts w:hint="eastAsia"/>
          <w:color w:val="000000"/>
          <w:sz w:val="21"/>
          <w:szCs w:val="21"/>
        </w:rPr>
        <w:t>描述。</w:t>
      </w:r>
    </w:p>
    <w:p w:rsidR="00A27D66" w:rsidRDefault="00A2119D">
      <w:pPr>
        <w:pStyle w:val="3"/>
        <w:spacing w:line="280" w:lineRule="exact"/>
        <w:jc w:val="left"/>
        <w:rPr>
          <w:rFonts w:ascii="宋体" w:hAnsi="宋体" w:cs="宋体"/>
          <w:b/>
          <w:bCs/>
        </w:rPr>
      </w:pPr>
      <w:bookmarkStart w:id="167" w:name="_Toc989052"/>
      <w:r>
        <w:rPr>
          <w:rFonts w:ascii="宋体" w:hAnsi="宋体" w:cs="宋体"/>
          <w:b/>
          <w:bCs/>
        </w:rPr>
        <w:t>1、遵循企业会计准则的声明</w:t>
      </w:r>
      <w:bookmarkEnd w:id="167"/>
    </w:p>
    <w:p w:rsidR="00A2119D" w:rsidRPr="0094357B" w:rsidRDefault="00A2119D" w:rsidP="0094357B">
      <w:pPr>
        <w:pStyle w:val="a3"/>
        <w:spacing w:before="0" w:beforeAutospacing="0" w:after="0" w:afterAutospacing="0" w:line="360" w:lineRule="auto"/>
        <w:ind w:firstLine="420"/>
        <w:jc w:val="both"/>
        <w:divId w:val="1262303652"/>
        <w:rPr>
          <w:color w:val="000000"/>
          <w:sz w:val="21"/>
          <w:szCs w:val="21"/>
        </w:rPr>
      </w:pPr>
      <w:r>
        <w:rPr>
          <w:rFonts w:hint="eastAsia"/>
          <w:color w:val="000000"/>
          <w:sz w:val="21"/>
          <w:szCs w:val="21"/>
        </w:rPr>
        <w:t>本公司所编制的财务报表符合企业会计准则的要求，真实、完整地反映了公司的财务状况、经营成果、所有者权益变动和现金流量等有关信息。</w:t>
      </w:r>
    </w:p>
    <w:p w:rsidR="00A27D66" w:rsidRDefault="00A2119D">
      <w:pPr>
        <w:pStyle w:val="3"/>
        <w:spacing w:line="280" w:lineRule="exact"/>
        <w:jc w:val="left"/>
        <w:rPr>
          <w:rFonts w:ascii="宋体" w:hAnsi="宋体" w:cs="宋体"/>
          <w:b/>
          <w:bCs/>
        </w:rPr>
      </w:pPr>
      <w:bookmarkStart w:id="168" w:name="_Toc989053"/>
      <w:r>
        <w:rPr>
          <w:rFonts w:ascii="宋体" w:hAnsi="宋体" w:cs="宋体"/>
          <w:b/>
          <w:bCs/>
        </w:rPr>
        <w:t>2、会计期间</w:t>
      </w:r>
      <w:bookmarkEnd w:id="168"/>
    </w:p>
    <w:p w:rsidR="00A2119D" w:rsidRPr="0094357B" w:rsidRDefault="00A2119D" w:rsidP="0094357B">
      <w:pPr>
        <w:pStyle w:val="a3"/>
        <w:spacing w:before="0" w:beforeAutospacing="0" w:after="0" w:afterAutospacing="0" w:line="360" w:lineRule="auto"/>
        <w:ind w:firstLine="420"/>
        <w:jc w:val="both"/>
        <w:divId w:val="1823236641"/>
        <w:rPr>
          <w:color w:val="000000"/>
          <w:sz w:val="21"/>
          <w:szCs w:val="21"/>
        </w:rPr>
      </w:pPr>
      <w:r w:rsidRPr="0094357B">
        <w:rPr>
          <w:rFonts w:hint="eastAsia"/>
          <w:color w:val="000000"/>
          <w:sz w:val="21"/>
          <w:szCs w:val="21"/>
        </w:rPr>
        <w:t>本公司会计年度自公历每年</w:t>
      </w:r>
      <w:r w:rsidRPr="0094357B">
        <w:rPr>
          <w:color w:val="000000"/>
          <w:sz w:val="21"/>
          <w:szCs w:val="21"/>
        </w:rPr>
        <w:t>1</w:t>
      </w:r>
      <w:r w:rsidRPr="0094357B">
        <w:rPr>
          <w:rFonts w:hint="eastAsia"/>
          <w:color w:val="000000"/>
          <w:sz w:val="21"/>
          <w:szCs w:val="21"/>
        </w:rPr>
        <w:t>月</w:t>
      </w:r>
      <w:r w:rsidRPr="0094357B">
        <w:rPr>
          <w:color w:val="000000"/>
          <w:sz w:val="21"/>
          <w:szCs w:val="21"/>
        </w:rPr>
        <w:t>1</w:t>
      </w:r>
      <w:r w:rsidRPr="0094357B">
        <w:rPr>
          <w:rFonts w:hint="eastAsia"/>
          <w:color w:val="000000"/>
          <w:sz w:val="21"/>
          <w:szCs w:val="21"/>
        </w:rPr>
        <w:t>日起至</w:t>
      </w:r>
      <w:r w:rsidRPr="0094357B">
        <w:rPr>
          <w:color w:val="000000"/>
          <w:sz w:val="21"/>
          <w:szCs w:val="21"/>
        </w:rPr>
        <w:t>12</w:t>
      </w:r>
      <w:r w:rsidRPr="0094357B">
        <w:rPr>
          <w:rFonts w:hint="eastAsia"/>
          <w:color w:val="000000"/>
          <w:sz w:val="21"/>
          <w:szCs w:val="21"/>
        </w:rPr>
        <w:t>月</w:t>
      </w:r>
      <w:r w:rsidRPr="0094357B">
        <w:rPr>
          <w:color w:val="000000"/>
          <w:sz w:val="21"/>
          <w:szCs w:val="21"/>
        </w:rPr>
        <w:t>31</w:t>
      </w:r>
      <w:r w:rsidRPr="0094357B">
        <w:rPr>
          <w:rFonts w:hint="eastAsia"/>
          <w:color w:val="000000"/>
          <w:sz w:val="21"/>
          <w:szCs w:val="21"/>
        </w:rPr>
        <w:t>日止。</w:t>
      </w:r>
    </w:p>
    <w:p w:rsidR="00A27D66" w:rsidRDefault="00A2119D">
      <w:pPr>
        <w:pStyle w:val="3"/>
        <w:spacing w:line="280" w:lineRule="exact"/>
        <w:jc w:val="left"/>
        <w:rPr>
          <w:rFonts w:ascii="宋体" w:hAnsi="宋体" w:cs="宋体"/>
          <w:b/>
          <w:bCs/>
        </w:rPr>
      </w:pPr>
      <w:bookmarkStart w:id="169" w:name="_Toc989054"/>
      <w:r>
        <w:rPr>
          <w:rFonts w:ascii="宋体" w:hAnsi="宋体" w:cs="宋体"/>
          <w:b/>
          <w:bCs/>
        </w:rPr>
        <w:t>3、营业周期</w:t>
      </w:r>
      <w:bookmarkEnd w:id="169"/>
    </w:p>
    <w:p w:rsidR="00A2119D" w:rsidRPr="0094357B" w:rsidRDefault="00A2119D" w:rsidP="0094357B">
      <w:pPr>
        <w:pStyle w:val="a3"/>
        <w:spacing w:before="0" w:beforeAutospacing="0" w:after="0" w:afterAutospacing="0" w:line="360" w:lineRule="auto"/>
        <w:ind w:firstLine="420"/>
        <w:jc w:val="both"/>
        <w:divId w:val="556865311"/>
        <w:rPr>
          <w:color w:val="000000"/>
          <w:sz w:val="21"/>
          <w:szCs w:val="21"/>
        </w:rPr>
      </w:pPr>
      <w:r w:rsidRPr="0094357B">
        <w:rPr>
          <w:rFonts w:hint="eastAsia"/>
          <w:color w:val="000000"/>
          <w:sz w:val="21"/>
          <w:szCs w:val="21"/>
        </w:rPr>
        <w:t>本公司以</w:t>
      </w:r>
      <w:r w:rsidRPr="0094357B">
        <w:rPr>
          <w:color w:val="000000"/>
          <w:sz w:val="21"/>
          <w:szCs w:val="21"/>
        </w:rPr>
        <w:t>12</w:t>
      </w:r>
      <w:r w:rsidRPr="0094357B">
        <w:rPr>
          <w:rFonts w:hint="eastAsia"/>
          <w:color w:val="000000"/>
          <w:sz w:val="21"/>
          <w:szCs w:val="21"/>
        </w:rPr>
        <w:t>个月作为一个营业周期，并以其作为资产和负债的流动性划分标准。</w:t>
      </w:r>
    </w:p>
    <w:p w:rsidR="00A27D66" w:rsidRPr="0094357B" w:rsidRDefault="00A2119D" w:rsidP="0094357B">
      <w:pPr>
        <w:pStyle w:val="3"/>
        <w:spacing w:line="280" w:lineRule="exact"/>
        <w:jc w:val="left"/>
        <w:rPr>
          <w:rFonts w:ascii="宋体" w:hAnsi="宋体" w:cs="宋体"/>
          <w:b/>
          <w:bCs/>
        </w:rPr>
      </w:pPr>
      <w:bookmarkStart w:id="170" w:name="_Toc989055"/>
      <w:r w:rsidRPr="0094357B">
        <w:rPr>
          <w:rFonts w:ascii="宋体" w:hAnsi="宋体" w:cs="宋体"/>
          <w:b/>
          <w:bCs/>
        </w:rPr>
        <w:t>4、记账本位币</w:t>
      </w:r>
      <w:bookmarkEnd w:id="170"/>
    </w:p>
    <w:p w:rsidR="00A2119D" w:rsidRPr="0094357B" w:rsidRDefault="00A2119D" w:rsidP="0094357B">
      <w:pPr>
        <w:pStyle w:val="a3"/>
        <w:spacing w:before="0" w:beforeAutospacing="0" w:after="0" w:afterAutospacing="0" w:line="360" w:lineRule="auto"/>
        <w:ind w:firstLine="420"/>
        <w:jc w:val="both"/>
        <w:divId w:val="561871599"/>
        <w:rPr>
          <w:color w:val="000000"/>
          <w:sz w:val="21"/>
          <w:szCs w:val="21"/>
        </w:rPr>
      </w:pPr>
      <w:r w:rsidRPr="0094357B">
        <w:rPr>
          <w:rFonts w:hint="eastAsia"/>
          <w:color w:val="000000"/>
          <w:sz w:val="21"/>
          <w:szCs w:val="21"/>
        </w:rPr>
        <w:t>本公司的记账本位币为人民币，境外子公司按经营所处的主要经济环境中的货币为记账本位币。</w:t>
      </w:r>
    </w:p>
    <w:p w:rsidR="00A27D66" w:rsidRDefault="00A2119D">
      <w:pPr>
        <w:pStyle w:val="3"/>
        <w:spacing w:line="280" w:lineRule="exact"/>
        <w:jc w:val="left"/>
        <w:rPr>
          <w:rFonts w:ascii="宋体" w:hAnsi="宋体" w:cs="宋体"/>
          <w:b/>
          <w:bCs/>
        </w:rPr>
      </w:pPr>
      <w:bookmarkStart w:id="171" w:name="_Toc989056"/>
      <w:r>
        <w:rPr>
          <w:rFonts w:ascii="宋体" w:hAnsi="宋体" w:cs="宋体"/>
          <w:b/>
          <w:bCs/>
        </w:rPr>
        <w:t>5、重要性标准确定方法和选择依据</w:t>
      </w:r>
      <w:bookmarkEnd w:id="171"/>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重要性标准</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重要的单项计提坏账准备的应收票据、应收账款、应收款项融资、其他应收款、其他应付款</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营业收入的1%</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重要的应收款项本期坏账准备收回或转回</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营业收入的1%</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重要的在建工程</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单项重要的在建工程项目金额占资产总额2%以上</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重要投资活动有关的现金</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单项投资活动占资产总额2%以上</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重要的非全资子公司</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非全资子公司净资产金额占合并净资产5%以上或经管理层认定</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重要的合营企业或联营企业</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对单个被投资单位的长期股权投资账面价值占合并净资产5%以上</w:t>
            </w:r>
          </w:p>
        </w:tc>
      </w:tr>
    </w:tbl>
    <w:p w:rsidR="00A27D66" w:rsidRDefault="00A2119D">
      <w:pPr>
        <w:pStyle w:val="3"/>
        <w:spacing w:line="280" w:lineRule="exact"/>
        <w:jc w:val="left"/>
        <w:rPr>
          <w:rFonts w:ascii="宋体" w:hAnsi="宋体" w:cs="宋体"/>
          <w:b/>
          <w:bCs/>
        </w:rPr>
      </w:pPr>
      <w:bookmarkStart w:id="172" w:name="_Toc989057"/>
      <w:r>
        <w:rPr>
          <w:rFonts w:ascii="宋体" w:hAnsi="宋体" w:cs="宋体"/>
          <w:b/>
          <w:bCs/>
        </w:rPr>
        <w:t>6、同</w:t>
      </w:r>
      <w:proofErr w:type="gramStart"/>
      <w:r>
        <w:rPr>
          <w:rFonts w:ascii="宋体" w:hAnsi="宋体" w:cs="宋体"/>
          <w:b/>
          <w:bCs/>
        </w:rPr>
        <w:t>一控制</w:t>
      </w:r>
      <w:proofErr w:type="gramEnd"/>
      <w:r>
        <w:rPr>
          <w:rFonts w:ascii="宋体" w:hAnsi="宋体" w:cs="宋体"/>
          <w:b/>
          <w:bCs/>
        </w:rPr>
        <w:t>下和非同</w:t>
      </w:r>
      <w:proofErr w:type="gramStart"/>
      <w:r>
        <w:rPr>
          <w:rFonts w:ascii="宋体" w:hAnsi="宋体" w:cs="宋体"/>
          <w:b/>
          <w:bCs/>
        </w:rPr>
        <w:t>一控制</w:t>
      </w:r>
      <w:proofErr w:type="gramEnd"/>
      <w:r>
        <w:rPr>
          <w:rFonts w:ascii="宋体" w:hAnsi="宋体" w:cs="宋体"/>
          <w:b/>
          <w:bCs/>
        </w:rPr>
        <w:t>下企业合并的会计处理方法</w:t>
      </w:r>
      <w:bookmarkEnd w:id="172"/>
    </w:p>
    <w:p w:rsidR="00A2119D" w:rsidRPr="0094357B" w:rsidRDefault="00A2119D" w:rsidP="0094357B">
      <w:pPr>
        <w:pStyle w:val="a3"/>
        <w:spacing w:before="0" w:beforeAutospacing="0" w:after="0" w:afterAutospacing="0" w:line="360" w:lineRule="auto"/>
        <w:ind w:firstLine="420"/>
        <w:jc w:val="both"/>
        <w:divId w:val="1223635675"/>
        <w:rPr>
          <w:rFonts w:cs="Times New Roman"/>
          <w:sz w:val="21"/>
          <w:szCs w:val="21"/>
        </w:rPr>
      </w:pPr>
      <w:r w:rsidRPr="0094357B">
        <w:rPr>
          <w:rFonts w:cs="Times New Roman" w:hint="eastAsia"/>
          <w:color w:val="000000"/>
          <w:sz w:val="21"/>
          <w:szCs w:val="21"/>
        </w:rPr>
        <w:t>（</w:t>
      </w:r>
      <w:r w:rsidRPr="0094357B">
        <w:rPr>
          <w:rFonts w:cs="Times New Roman"/>
          <w:color w:val="000000"/>
          <w:sz w:val="21"/>
          <w:szCs w:val="21"/>
        </w:rPr>
        <w:t>1</w:t>
      </w:r>
      <w:r w:rsidRPr="0094357B">
        <w:rPr>
          <w:rFonts w:cs="Times New Roman" w:hint="eastAsia"/>
          <w:color w:val="000000"/>
          <w:sz w:val="21"/>
          <w:szCs w:val="21"/>
        </w:rPr>
        <w:t>）同</w:t>
      </w:r>
      <w:proofErr w:type="gramStart"/>
      <w:r w:rsidRPr="0094357B">
        <w:rPr>
          <w:rFonts w:cs="Times New Roman" w:hint="eastAsia"/>
          <w:color w:val="000000"/>
          <w:sz w:val="21"/>
          <w:szCs w:val="21"/>
        </w:rPr>
        <w:t>一控制</w:t>
      </w:r>
      <w:proofErr w:type="gramEnd"/>
      <w:r w:rsidRPr="0094357B">
        <w:rPr>
          <w:rFonts w:cs="Times New Roman" w:hint="eastAsia"/>
          <w:color w:val="000000"/>
          <w:sz w:val="21"/>
          <w:szCs w:val="21"/>
        </w:rPr>
        <w:t>下的企业合并</w:t>
      </w:r>
    </w:p>
    <w:p w:rsidR="00A2119D" w:rsidRPr="0094357B" w:rsidRDefault="00A2119D" w:rsidP="0094357B">
      <w:pPr>
        <w:pStyle w:val="a3"/>
        <w:spacing w:before="0" w:beforeAutospacing="0" w:after="0" w:afterAutospacing="0" w:line="360" w:lineRule="auto"/>
        <w:ind w:firstLine="420"/>
        <w:jc w:val="both"/>
        <w:divId w:val="1223635675"/>
        <w:rPr>
          <w:rFonts w:cs="Times New Roman"/>
          <w:sz w:val="21"/>
          <w:szCs w:val="21"/>
        </w:rPr>
      </w:pPr>
      <w:r w:rsidRPr="0094357B">
        <w:rPr>
          <w:rFonts w:cs="Times New Roman" w:hint="eastAsia"/>
          <w:color w:val="000000"/>
          <w:sz w:val="21"/>
          <w:szCs w:val="21"/>
        </w:rPr>
        <w:t>本公司在企业合并中取得的资产和负债，按照</w:t>
      </w:r>
      <w:proofErr w:type="gramStart"/>
      <w:r w:rsidRPr="0094357B">
        <w:rPr>
          <w:rFonts w:cs="Times New Roman" w:hint="eastAsia"/>
          <w:color w:val="000000"/>
          <w:sz w:val="21"/>
          <w:szCs w:val="21"/>
        </w:rPr>
        <w:t>合并日</w:t>
      </w:r>
      <w:proofErr w:type="gramEnd"/>
      <w:r w:rsidRPr="0094357B">
        <w:rPr>
          <w:rFonts w:cs="Times New Roman" w:hint="eastAsia"/>
          <w:color w:val="000000"/>
          <w:sz w:val="21"/>
          <w:szCs w:val="21"/>
        </w:rPr>
        <w:t>被合并方资产、负债（包括最终控制</w:t>
      </w:r>
      <w:proofErr w:type="gramStart"/>
      <w:r w:rsidRPr="0094357B">
        <w:rPr>
          <w:rFonts w:cs="Times New Roman" w:hint="eastAsia"/>
          <w:color w:val="000000"/>
          <w:sz w:val="21"/>
          <w:szCs w:val="21"/>
        </w:rPr>
        <w:t>方收购</w:t>
      </w:r>
      <w:proofErr w:type="gramEnd"/>
      <w:r w:rsidRPr="0094357B">
        <w:rPr>
          <w:rFonts w:cs="Times New Roman" w:hint="eastAsia"/>
          <w:color w:val="000000"/>
          <w:sz w:val="21"/>
          <w:szCs w:val="21"/>
        </w:rPr>
        <w:t>被合并方而形成的商誉）在最终控制方合并财务报表中的账面价值计量。在合并中取得的净资产账面价值与支付的合并对价账面价值（或发行股份面值总额）的差额，调整资本公积中的股本溢价，资本公积中的股本溢价不足冲减的，调整留存收益。</w:t>
      </w:r>
    </w:p>
    <w:p w:rsidR="00A2119D" w:rsidRPr="0094357B" w:rsidRDefault="00A2119D" w:rsidP="0094357B">
      <w:pPr>
        <w:pStyle w:val="a3"/>
        <w:spacing w:before="0" w:beforeAutospacing="0" w:after="0" w:afterAutospacing="0" w:line="360" w:lineRule="auto"/>
        <w:ind w:firstLine="420"/>
        <w:jc w:val="both"/>
        <w:divId w:val="1223635675"/>
        <w:rPr>
          <w:rFonts w:cs="Times New Roman"/>
          <w:sz w:val="21"/>
          <w:szCs w:val="21"/>
        </w:rPr>
      </w:pPr>
      <w:r w:rsidRPr="0094357B">
        <w:rPr>
          <w:rFonts w:cs="Times New Roman" w:hint="eastAsia"/>
          <w:color w:val="000000"/>
          <w:sz w:val="21"/>
          <w:szCs w:val="21"/>
        </w:rPr>
        <w:lastRenderedPageBreak/>
        <w:t>（</w:t>
      </w:r>
      <w:r w:rsidRPr="0094357B">
        <w:rPr>
          <w:rFonts w:cs="Times New Roman"/>
          <w:color w:val="000000"/>
          <w:sz w:val="21"/>
          <w:szCs w:val="21"/>
        </w:rPr>
        <w:t>2</w:t>
      </w:r>
      <w:r w:rsidRPr="0094357B">
        <w:rPr>
          <w:rFonts w:cs="Times New Roman" w:hint="eastAsia"/>
          <w:color w:val="000000"/>
          <w:sz w:val="21"/>
          <w:szCs w:val="21"/>
        </w:rPr>
        <w:t>）非同</w:t>
      </w:r>
      <w:proofErr w:type="gramStart"/>
      <w:r w:rsidRPr="0094357B">
        <w:rPr>
          <w:rFonts w:cs="Times New Roman" w:hint="eastAsia"/>
          <w:color w:val="000000"/>
          <w:sz w:val="21"/>
          <w:szCs w:val="21"/>
        </w:rPr>
        <w:t>一控制</w:t>
      </w:r>
      <w:proofErr w:type="gramEnd"/>
      <w:r w:rsidRPr="0094357B">
        <w:rPr>
          <w:rFonts w:cs="Times New Roman" w:hint="eastAsia"/>
          <w:color w:val="000000"/>
          <w:sz w:val="21"/>
          <w:szCs w:val="21"/>
        </w:rPr>
        <w:t>下的企业合并</w:t>
      </w:r>
    </w:p>
    <w:p w:rsidR="00A2119D" w:rsidRPr="0094357B" w:rsidRDefault="00A2119D" w:rsidP="0094357B">
      <w:pPr>
        <w:pStyle w:val="a3"/>
        <w:spacing w:before="0" w:beforeAutospacing="0" w:after="0" w:afterAutospacing="0" w:line="360" w:lineRule="auto"/>
        <w:ind w:firstLine="420"/>
        <w:jc w:val="both"/>
        <w:divId w:val="1223635675"/>
        <w:rPr>
          <w:sz w:val="21"/>
          <w:szCs w:val="21"/>
        </w:rPr>
      </w:pPr>
      <w:r w:rsidRPr="0094357B">
        <w:rPr>
          <w:rFonts w:hint="eastAsia"/>
          <w:color w:val="000000"/>
          <w:sz w:val="21"/>
          <w:szCs w:val="21"/>
        </w:rPr>
        <w:t>本公司合并成本为在购买日作为企业合并对价付出的资产、发生或承担的负债的公允价值，公允价值与其账面价值的差额，计入当期损益。本公司对合并成本大于合并中取得的被购买方可辨认净资产公允价值份额的差额，确认为商誉；合并成本小于合并中取得的被购买方可辨认净资产公允价值份额的差额，对合并中取得的资产、负债的公允价值及合并成本的计量进行复核，复核结果表明所确定的各项可辨认资产和负债的公允价值及合并成本是恰当的，则将企业合并成本低于取得的被购买方可辨认净资产公允价值份额之间的差额，计入合并当期的营业外收入。</w:t>
      </w:r>
    </w:p>
    <w:p w:rsidR="00A2119D" w:rsidRPr="0094357B" w:rsidRDefault="00A2119D" w:rsidP="0094357B">
      <w:pPr>
        <w:pStyle w:val="a3"/>
        <w:spacing w:before="0" w:beforeAutospacing="0" w:after="0" w:afterAutospacing="0" w:line="360" w:lineRule="auto"/>
        <w:ind w:firstLine="420"/>
        <w:jc w:val="both"/>
        <w:divId w:val="1223635675"/>
        <w:rPr>
          <w:sz w:val="21"/>
          <w:szCs w:val="21"/>
        </w:rPr>
      </w:pPr>
      <w:r w:rsidRPr="0094357B">
        <w:rPr>
          <w:rFonts w:hint="eastAsia"/>
          <w:color w:val="000000"/>
          <w:sz w:val="21"/>
          <w:szCs w:val="21"/>
        </w:rPr>
        <w:t>（</w:t>
      </w:r>
      <w:r w:rsidRPr="0094357B">
        <w:rPr>
          <w:rFonts w:cs="Times New Roman"/>
          <w:color w:val="000000"/>
          <w:sz w:val="21"/>
          <w:szCs w:val="21"/>
        </w:rPr>
        <w:t>3</w:t>
      </w:r>
      <w:r w:rsidRPr="0094357B">
        <w:rPr>
          <w:rFonts w:hint="eastAsia"/>
          <w:color w:val="000000"/>
          <w:sz w:val="21"/>
          <w:szCs w:val="21"/>
        </w:rPr>
        <w:t>）企业合并中相关费用的处理</w:t>
      </w:r>
    </w:p>
    <w:p w:rsidR="00A2119D" w:rsidRPr="0094357B" w:rsidRDefault="00A2119D" w:rsidP="0094357B">
      <w:pPr>
        <w:pStyle w:val="a3"/>
        <w:spacing w:before="0" w:beforeAutospacing="0" w:after="0" w:afterAutospacing="0" w:line="360" w:lineRule="auto"/>
        <w:ind w:firstLine="420"/>
        <w:jc w:val="both"/>
        <w:divId w:val="1223635675"/>
        <w:rPr>
          <w:sz w:val="21"/>
          <w:szCs w:val="21"/>
        </w:rPr>
      </w:pPr>
      <w:r w:rsidRPr="0094357B">
        <w:rPr>
          <w:rFonts w:hint="eastAsia"/>
          <w:color w:val="000000"/>
          <w:sz w:val="21"/>
          <w:szCs w:val="21"/>
        </w:rPr>
        <w:t>为企业合并发生的审计、法律服务、评估咨询等中介费用及其他相关管理费用，于发生时计入当期损益；作为合并对价发行的权益</w:t>
      </w:r>
      <w:proofErr w:type="gramStart"/>
      <w:r w:rsidRPr="0094357B">
        <w:rPr>
          <w:rFonts w:hint="eastAsia"/>
          <w:color w:val="000000"/>
          <w:sz w:val="21"/>
          <w:szCs w:val="21"/>
        </w:rPr>
        <w:t>性证券</w:t>
      </w:r>
      <w:proofErr w:type="gramEnd"/>
      <w:r w:rsidRPr="0094357B">
        <w:rPr>
          <w:rFonts w:hint="eastAsia"/>
          <w:color w:val="000000"/>
          <w:sz w:val="21"/>
          <w:szCs w:val="21"/>
        </w:rPr>
        <w:t>或债务</w:t>
      </w:r>
      <w:proofErr w:type="gramStart"/>
      <w:r w:rsidRPr="0094357B">
        <w:rPr>
          <w:rFonts w:hint="eastAsia"/>
          <w:color w:val="000000"/>
          <w:sz w:val="21"/>
          <w:szCs w:val="21"/>
        </w:rPr>
        <w:t>性证券</w:t>
      </w:r>
      <w:proofErr w:type="gramEnd"/>
      <w:r w:rsidRPr="0094357B">
        <w:rPr>
          <w:rFonts w:hint="eastAsia"/>
          <w:color w:val="000000"/>
          <w:sz w:val="21"/>
          <w:szCs w:val="21"/>
        </w:rPr>
        <w:t>的交易费用，计入权益</w:t>
      </w:r>
      <w:proofErr w:type="gramStart"/>
      <w:r w:rsidRPr="0094357B">
        <w:rPr>
          <w:rFonts w:hint="eastAsia"/>
          <w:color w:val="000000"/>
          <w:sz w:val="21"/>
          <w:szCs w:val="21"/>
        </w:rPr>
        <w:t>性证券</w:t>
      </w:r>
      <w:proofErr w:type="gramEnd"/>
      <w:r w:rsidRPr="0094357B">
        <w:rPr>
          <w:rFonts w:hint="eastAsia"/>
          <w:color w:val="000000"/>
          <w:sz w:val="21"/>
          <w:szCs w:val="21"/>
        </w:rPr>
        <w:t>或债务</w:t>
      </w:r>
      <w:proofErr w:type="gramStart"/>
      <w:r w:rsidRPr="0094357B">
        <w:rPr>
          <w:rFonts w:hint="eastAsia"/>
          <w:color w:val="000000"/>
          <w:sz w:val="21"/>
          <w:szCs w:val="21"/>
        </w:rPr>
        <w:t>性证券</w:t>
      </w:r>
      <w:proofErr w:type="gramEnd"/>
      <w:r w:rsidRPr="0094357B">
        <w:rPr>
          <w:rFonts w:hint="eastAsia"/>
          <w:color w:val="000000"/>
          <w:sz w:val="21"/>
          <w:szCs w:val="21"/>
        </w:rPr>
        <w:t>的初始确认金额。</w:t>
      </w:r>
    </w:p>
    <w:p w:rsidR="00A27D66" w:rsidRDefault="00A2119D">
      <w:pPr>
        <w:pStyle w:val="3"/>
        <w:spacing w:line="280" w:lineRule="exact"/>
        <w:jc w:val="left"/>
        <w:rPr>
          <w:rFonts w:ascii="宋体" w:hAnsi="宋体" w:cs="宋体"/>
          <w:b/>
          <w:bCs/>
        </w:rPr>
      </w:pPr>
      <w:bookmarkStart w:id="173" w:name="_Toc989058"/>
      <w:r>
        <w:rPr>
          <w:rFonts w:ascii="宋体" w:hAnsi="宋体" w:cs="宋体"/>
          <w:b/>
          <w:bCs/>
        </w:rPr>
        <w:t>7、控制的判断标准和合并财务报表的编制方法</w:t>
      </w:r>
      <w:bookmarkEnd w:id="173"/>
    </w:p>
    <w:p w:rsidR="00A2119D" w:rsidRPr="0094357B" w:rsidRDefault="00A2119D" w:rsidP="0094357B">
      <w:pPr>
        <w:pStyle w:val="a3"/>
        <w:spacing w:before="0" w:beforeAutospacing="0" w:after="0" w:afterAutospacing="0" w:line="360" w:lineRule="auto"/>
        <w:ind w:firstLine="420"/>
        <w:jc w:val="both"/>
        <w:divId w:val="332102660"/>
        <w:rPr>
          <w:color w:val="000000"/>
          <w:sz w:val="21"/>
          <w:szCs w:val="21"/>
        </w:rPr>
      </w:pPr>
      <w:r w:rsidRPr="0094357B">
        <w:rPr>
          <w:rFonts w:hint="eastAsia"/>
          <w:color w:val="000000"/>
          <w:sz w:val="21"/>
          <w:szCs w:val="21"/>
        </w:rPr>
        <w:t>（</w:t>
      </w:r>
      <w:r w:rsidRPr="0094357B">
        <w:rPr>
          <w:color w:val="000000"/>
          <w:sz w:val="21"/>
          <w:szCs w:val="21"/>
        </w:rPr>
        <w:t>1</w:t>
      </w:r>
      <w:r w:rsidRPr="0094357B">
        <w:rPr>
          <w:rFonts w:hint="eastAsia"/>
          <w:color w:val="000000"/>
          <w:sz w:val="21"/>
          <w:szCs w:val="21"/>
        </w:rPr>
        <w:t>）同</w:t>
      </w:r>
      <w:proofErr w:type="gramStart"/>
      <w:r w:rsidRPr="0094357B">
        <w:rPr>
          <w:rFonts w:hint="eastAsia"/>
          <w:color w:val="000000"/>
          <w:sz w:val="21"/>
          <w:szCs w:val="21"/>
        </w:rPr>
        <w:t>一控制</w:t>
      </w:r>
      <w:proofErr w:type="gramEnd"/>
      <w:r w:rsidRPr="0094357B">
        <w:rPr>
          <w:rFonts w:hint="eastAsia"/>
          <w:color w:val="000000"/>
          <w:sz w:val="21"/>
          <w:szCs w:val="21"/>
        </w:rPr>
        <w:t>下的企业合并</w:t>
      </w:r>
    </w:p>
    <w:p w:rsidR="00A2119D" w:rsidRPr="0094357B" w:rsidRDefault="00A2119D" w:rsidP="0094357B">
      <w:pPr>
        <w:pStyle w:val="a3"/>
        <w:spacing w:before="0" w:beforeAutospacing="0" w:after="0" w:afterAutospacing="0" w:line="360" w:lineRule="auto"/>
        <w:ind w:firstLine="420"/>
        <w:jc w:val="both"/>
        <w:divId w:val="332102660"/>
        <w:rPr>
          <w:color w:val="000000"/>
          <w:sz w:val="21"/>
          <w:szCs w:val="21"/>
        </w:rPr>
      </w:pPr>
      <w:r w:rsidRPr="0094357B">
        <w:rPr>
          <w:rFonts w:hint="eastAsia"/>
          <w:color w:val="000000"/>
          <w:sz w:val="21"/>
          <w:szCs w:val="21"/>
        </w:rPr>
        <w:t>本公司在企业合并中取得的资产和负债，按照</w:t>
      </w:r>
      <w:proofErr w:type="gramStart"/>
      <w:r w:rsidRPr="0094357B">
        <w:rPr>
          <w:rFonts w:hint="eastAsia"/>
          <w:color w:val="000000"/>
          <w:sz w:val="21"/>
          <w:szCs w:val="21"/>
        </w:rPr>
        <w:t>合并日</w:t>
      </w:r>
      <w:proofErr w:type="gramEnd"/>
      <w:r w:rsidRPr="0094357B">
        <w:rPr>
          <w:rFonts w:hint="eastAsia"/>
          <w:color w:val="000000"/>
          <w:sz w:val="21"/>
          <w:szCs w:val="21"/>
        </w:rPr>
        <w:t>被合并方资产、负债（包括最终控制</w:t>
      </w:r>
      <w:proofErr w:type="gramStart"/>
      <w:r w:rsidRPr="0094357B">
        <w:rPr>
          <w:rFonts w:hint="eastAsia"/>
          <w:color w:val="000000"/>
          <w:sz w:val="21"/>
          <w:szCs w:val="21"/>
        </w:rPr>
        <w:t>方收购</w:t>
      </w:r>
      <w:proofErr w:type="gramEnd"/>
      <w:r w:rsidRPr="0094357B">
        <w:rPr>
          <w:rFonts w:hint="eastAsia"/>
          <w:color w:val="000000"/>
          <w:sz w:val="21"/>
          <w:szCs w:val="21"/>
        </w:rPr>
        <w:t>被合并方而形成的商誉）在最终控制方合并财务报表中的账面价值计量。在合并中取得的净资产账面价值与支付的合并对价账面价值（或发行股份面值总额）的差额，调整资本公积中的股本溢价，资本公积中的股本溢价不足冲减的，调整留存收益。</w:t>
      </w:r>
    </w:p>
    <w:p w:rsidR="00A2119D" w:rsidRPr="0094357B" w:rsidRDefault="00A2119D" w:rsidP="0094357B">
      <w:pPr>
        <w:pStyle w:val="a3"/>
        <w:spacing w:before="0" w:beforeAutospacing="0" w:after="0" w:afterAutospacing="0" w:line="360" w:lineRule="auto"/>
        <w:ind w:firstLine="420"/>
        <w:jc w:val="both"/>
        <w:divId w:val="332102660"/>
        <w:rPr>
          <w:color w:val="000000"/>
          <w:sz w:val="21"/>
          <w:szCs w:val="21"/>
        </w:rPr>
      </w:pPr>
      <w:r w:rsidRPr="0094357B">
        <w:rPr>
          <w:rFonts w:hint="eastAsia"/>
          <w:color w:val="000000"/>
          <w:sz w:val="21"/>
          <w:szCs w:val="21"/>
        </w:rPr>
        <w:t>（</w:t>
      </w:r>
      <w:r w:rsidRPr="0094357B">
        <w:rPr>
          <w:color w:val="000000"/>
          <w:sz w:val="21"/>
          <w:szCs w:val="21"/>
        </w:rPr>
        <w:t>2</w:t>
      </w:r>
      <w:r w:rsidRPr="0094357B">
        <w:rPr>
          <w:rFonts w:hint="eastAsia"/>
          <w:color w:val="000000"/>
          <w:sz w:val="21"/>
          <w:szCs w:val="21"/>
        </w:rPr>
        <w:t>）非同</w:t>
      </w:r>
      <w:proofErr w:type="gramStart"/>
      <w:r w:rsidRPr="0094357B">
        <w:rPr>
          <w:rFonts w:hint="eastAsia"/>
          <w:color w:val="000000"/>
          <w:sz w:val="21"/>
          <w:szCs w:val="21"/>
        </w:rPr>
        <w:t>一控制</w:t>
      </w:r>
      <w:proofErr w:type="gramEnd"/>
      <w:r w:rsidRPr="0094357B">
        <w:rPr>
          <w:rFonts w:hint="eastAsia"/>
          <w:color w:val="000000"/>
          <w:sz w:val="21"/>
          <w:szCs w:val="21"/>
        </w:rPr>
        <w:t>下的企业合并</w:t>
      </w:r>
    </w:p>
    <w:p w:rsidR="00A2119D" w:rsidRPr="0094357B" w:rsidRDefault="00A2119D" w:rsidP="0094357B">
      <w:pPr>
        <w:pStyle w:val="a3"/>
        <w:spacing w:before="0" w:beforeAutospacing="0" w:after="0" w:afterAutospacing="0" w:line="360" w:lineRule="auto"/>
        <w:ind w:firstLine="420"/>
        <w:jc w:val="both"/>
        <w:divId w:val="332102660"/>
        <w:rPr>
          <w:color w:val="000000"/>
          <w:sz w:val="21"/>
          <w:szCs w:val="21"/>
        </w:rPr>
      </w:pPr>
      <w:r>
        <w:rPr>
          <w:rFonts w:hint="eastAsia"/>
          <w:color w:val="000000"/>
          <w:sz w:val="21"/>
          <w:szCs w:val="21"/>
        </w:rPr>
        <w:t>本公司合并成本为在购买日作为企业合并对价付出的资产、发生或承担的负债的公允价值，公允价值与其账面价值的差额，计入当期损益。本公司对合并成本大于合并中取得的被购买方可辨认净资产公允价值份额的差额，确认为商誉；合并成本小于合并中取得的被购买方可辨认净资产公允价值份额的差额，对合并中取得的资产、负债的公允价值及合并成本的计量进行复核，复核结果表明所确定的各项可辨认资产和负债的公允价值及合并成本是恰当的，则将企业合并成本低于取得的被购买方可辨认净资产公允价值份额之间的差额，计入合并当期的营业外收入。</w:t>
      </w:r>
    </w:p>
    <w:p w:rsidR="00A2119D" w:rsidRPr="0094357B" w:rsidRDefault="00A2119D" w:rsidP="0094357B">
      <w:pPr>
        <w:pStyle w:val="a3"/>
        <w:spacing w:before="0" w:beforeAutospacing="0" w:after="0" w:afterAutospacing="0" w:line="360" w:lineRule="auto"/>
        <w:ind w:firstLine="420"/>
        <w:jc w:val="both"/>
        <w:divId w:val="332102660"/>
        <w:rPr>
          <w:color w:val="000000"/>
          <w:sz w:val="21"/>
          <w:szCs w:val="21"/>
        </w:rPr>
      </w:pPr>
      <w:r>
        <w:rPr>
          <w:rFonts w:hint="eastAsia"/>
          <w:color w:val="000000"/>
          <w:sz w:val="21"/>
          <w:szCs w:val="21"/>
        </w:rPr>
        <w:t>（</w:t>
      </w:r>
      <w:r w:rsidRPr="0094357B">
        <w:rPr>
          <w:color w:val="000000"/>
          <w:sz w:val="21"/>
          <w:szCs w:val="21"/>
        </w:rPr>
        <w:t>3</w:t>
      </w:r>
      <w:r>
        <w:rPr>
          <w:rFonts w:hint="eastAsia"/>
          <w:color w:val="000000"/>
          <w:sz w:val="21"/>
          <w:szCs w:val="21"/>
        </w:rPr>
        <w:t>）企业合并中相关费用的处理</w:t>
      </w:r>
    </w:p>
    <w:p w:rsidR="00A2119D" w:rsidRPr="0094357B" w:rsidRDefault="00A2119D" w:rsidP="0094357B">
      <w:pPr>
        <w:pStyle w:val="a3"/>
        <w:spacing w:before="0" w:beforeAutospacing="0" w:after="0" w:afterAutospacing="0" w:line="360" w:lineRule="auto"/>
        <w:ind w:firstLine="420"/>
        <w:jc w:val="both"/>
        <w:divId w:val="332102660"/>
        <w:rPr>
          <w:color w:val="000000"/>
          <w:sz w:val="21"/>
          <w:szCs w:val="21"/>
        </w:rPr>
      </w:pPr>
      <w:r>
        <w:rPr>
          <w:rFonts w:hint="eastAsia"/>
          <w:color w:val="000000"/>
          <w:sz w:val="21"/>
          <w:szCs w:val="21"/>
        </w:rPr>
        <w:t>为企业合并发生的审计、法律服务、评估咨询等中介费用及其他相关管理费用，于发生时计入当期损益；作为合并对价发行的权益</w:t>
      </w:r>
      <w:proofErr w:type="gramStart"/>
      <w:r>
        <w:rPr>
          <w:rFonts w:hint="eastAsia"/>
          <w:color w:val="000000"/>
          <w:sz w:val="21"/>
          <w:szCs w:val="21"/>
        </w:rPr>
        <w:t>性证券</w:t>
      </w:r>
      <w:proofErr w:type="gramEnd"/>
      <w:r>
        <w:rPr>
          <w:rFonts w:hint="eastAsia"/>
          <w:color w:val="000000"/>
          <w:sz w:val="21"/>
          <w:szCs w:val="21"/>
        </w:rPr>
        <w:t>或债务</w:t>
      </w:r>
      <w:proofErr w:type="gramStart"/>
      <w:r>
        <w:rPr>
          <w:rFonts w:hint="eastAsia"/>
          <w:color w:val="000000"/>
          <w:sz w:val="21"/>
          <w:szCs w:val="21"/>
        </w:rPr>
        <w:t>性证券</w:t>
      </w:r>
      <w:proofErr w:type="gramEnd"/>
      <w:r>
        <w:rPr>
          <w:rFonts w:hint="eastAsia"/>
          <w:color w:val="000000"/>
          <w:sz w:val="21"/>
          <w:szCs w:val="21"/>
        </w:rPr>
        <w:t>的交易费用，计入权益</w:t>
      </w:r>
      <w:proofErr w:type="gramStart"/>
      <w:r>
        <w:rPr>
          <w:rFonts w:hint="eastAsia"/>
          <w:color w:val="000000"/>
          <w:sz w:val="21"/>
          <w:szCs w:val="21"/>
        </w:rPr>
        <w:t>性证券</w:t>
      </w:r>
      <w:proofErr w:type="gramEnd"/>
      <w:r>
        <w:rPr>
          <w:rFonts w:hint="eastAsia"/>
          <w:color w:val="000000"/>
          <w:sz w:val="21"/>
          <w:szCs w:val="21"/>
        </w:rPr>
        <w:t>或债务</w:t>
      </w:r>
      <w:proofErr w:type="gramStart"/>
      <w:r>
        <w:rPr>
          <w:rFonts w:hint="eastAsia"/>
          <w:color w:val="000000"/>
          <w:sz w:val="21"/>
          <w:szCs w:val="21"/>
        </w:rPr>
        <w:t>性证券</w:t>
      </w:r>
      <w:proofErr w:type="gramEnd"/>
      <w:r>
        <w:rPr>
          <w:rFonts w:hint="eastAsia"/>
          <w:color w:val="000000"/>
          <w:sz w:val="21"/>
          <w:szCs w:val="21"/>
        </w:rPr>
        <w:t>的初始确认金额。</w:t>
      </w:r>
    </w:p>
    <w:p w:rsidR="00A27D66" w:rsidRDefault="00A2119D">
      <w:pPr>
        <w:pStyle w:val="3"/>
        <w:spacing w:line="280" w:lineRule="exact"/>
        <w:jc w:val="left"/>
        <w:rPr>
          <w:rFonts w:ascii="宋体" w:hAnsi="宋体" w:cs="宋体"/>
          <w:b/>
          <w:bCs/>
        </w:rPr>
      </w:pPr>
      <w:bookmarkStart w:id="174" w:name="_Toc989059"/>
      <w:r>
        <w:rPr>
          <w:rFonts w:ascii="宋体" w:hAnsi="宋体" w:cs="宋体"/>
          <w:b/>
          <w:bCs/>
        </w:rPr>
        <w:lastRenderedPageBreak/>
        <w:t>8、合营安排分类及共同经营会计处理方法</w:t>
      </w:r>
      <w:bookmarkEnd w:id="174"/>
    </w:p>
    <w:p w:rsidR="00A2119D" w:rsidRPr="0094357B" w:rsidRDefault="00A2119D" w:rsidP="0094357B">
      <w:pPr>
        <w:pStyle w:val="a3"/>
        <w:spacing w:before="0" w:beforeAutospacing="0" w:after="0" w:afterAutospacing="0" w:line="360" w:lineRule="auto"/>
        <w:ind w:firstLine="420"/>
        <w:jc w:val="both"/>
        <w:divId w:val="1430157491"/>
        <w:rPr>
          <w:color w:val="000000"/>
          <w:sz w:val="21"/>
          <w:szCs w:val="21"/>
        </w:rPr>
      </w:pPr>
      <w:r w:rsidRPr="0094357B">
        <w:rPr>
          <w:rFonts w:hint="eastAsia"/>
          <w:color w:val="000000"/>
          <w:sz w:val="21"/>
          <w:szCs w:val="21"/>
        </w:rPr>
        <w:t>合营安排是指一项由两个或两个以上的参与方共同控制的安排，分为共同经营和合营企业。</w:t>
      </w:r>
    </w:p>
    <w:p w:rsidR="00A2119D" w:rsidRPr="0094357B" w:rsidRDefault="00A2119D" w:rsidP="0094357B">
      <w:pPr>
        <w:pStyle w:val="a3"/>
        <w:spacing w:before="0" w:beforeAutospacing="0" w:after="0" w:afterAutospacing="0" w:line="360" w:lineRule="auto"/>
        <w:ind w:firstLine="420"/>
        <w:jc w:val="both"/>
        <w:divId w:val="1430157491"/>
        <w:rPr>
          <w:color w:val="000000"/>
          <w:sz w:val="21"/>
          <w:szCs w:val="21"/>
        </w:rPr>
      </w:pPr>
      <w:r w:rsidRPr="0094357B">
        <w:rPr>
          <w:rFonts w:hint="eastAsia"/>
          <w:color w:val="000000"/>
          <w:sz w:val="21"/>
          <w:szCs w:val="21"/>
        </w:rPr>
        <w:t>当公司为共同经营的合营方时，确认与共同经营利益份额相关的下列项目：</w:t>
      </w:r>
    </w:p>
    <w:p w:rsidR="00A2119D" w:rsidRPr="0094357B" w:rsidRDefault="00A2119D" w:rsidP="0094357B">
      <w:pPr>
        <w:pStyle w:val="a3"/>
        <w:spacing w:before="0" w:beforeAutospacing="0" w:after="0" w:afterAutospacing="0" w:line="360" w:lineRule="auto"/>
        <w:ind w:firstLine="420"/>
        <w:jc w:val="both"/>
        <w:divId w:val="1430157491"/>
        <w:rPr>
          <w:color w:val="000000"/>
          <w:sz w:val="21"/>
          <w:szCs w:val="21"/>
        </w:rPr>
      </w:pPr>
      <w:r w:rsidRPr="0094357B">
        <w:rPr>
          <w:rFonts w:hint="eastAsia"/>
          <w:color w:val="000000"/>
          <w:sz w:val="21"/>
          <w:szCs w:val="21"/>
        </w:rPr>
        <w:t>①确认单独所持有的资产，以及按持有份额确认共同持有的资产；</w:t>
      </w:r>
    </w:p>
    <w:p w:rsidR="00A2119D" w:rsidRPr="0094357B" w:rsidRDefault="00A2119D" w:rsidP="0094357B">
      <w:pPr>
        <w:pStyle w:val="a3"/>
        <w:spacing w:before="0" w:beforeAutospacing="0" w:after="0" w:afterAutospacing="0" w:line="360" w:lineRule="auto"/>
        <w:ind w:firstLine="420"/>
        <w:jc w:val="both"/>
        <w:divId w:val="1430157491"/>
        <w:rPr>
          <w:color w:val="000000"/>
          <w:sz w:val="21"/>
          <w:szCs w:val="21"/>
        </w:rPr>
      </w:pPr>
      <w:r w:rsidRPr="0094357B">
        <w:rPr>
          <w:rFonts w:hint="eastAsia"/>
          <w:color w:val="000000"/>
          <w:sz w:val="21"/>
          <w:szCs w:val="21"/>
        </w:rPr>
        <w:t>②确认单独所承担的负债，以及按持有份额确认共同承担的负债；</w:t>
      </w:r>
    </w:p>
    <w:p w:rsidR="00A2119D" w:rsidRPr="0094357B" w:rsidRDefault="00A2119D" w:rsidP="0094357B">
      <w:pPr>
        <w:pStyle w:val="a3"/>
        <w:spacing w:before="0" w:beforeAutospacing="0" w:after="0" w:afterAutospacing="0" w:line="360" w:lineRule="auto"/>
        <w:ind w:firstLine="420"/>
        <w:jc w:val="both"/>
        <w:divId w:val="1430157491"/>
        <w:rPr>
          <w:color w:val="000000"/>
          <w:sz w:val="21"/>
          <w:szCs w:val="21"/>
        </w:rPr>
      </w:pPr>
      <w:r w:rsidRPr="0094357B">
        <w:rPr>
          <w:rFonts w:hint="eastAsia"/>
          <w:color w:val="000000"/>
          <w:sz w:val="21"/>
          <w:szCs w:val="21"/>
        </w:rPr>
        <w:t>③确认出售公司享有的共同经营产出份额所产生的收入；</w:t>
      </w:r>
    </w:p>
    <w:p w:rsidR="00A2119D" w:rsidRPr="0094357B" w:rsidRDefault="00A2119D" w:rsidP="0094357B">
      <w:pPr>
        <w:pStyle w:val="a3"/>
        <w:spacing w:before="0" w:beforeAutospacing="0" w:after="0" w:afterAutospacing="0" w:line="360" w:lineRule="auto"/>
        <w:ind w:firstLine="420"/>
        <w:jc w:val="both"/>
        <w:divId w:val="1430157491"/>
        <w:rPr>
          <w:color w:val="000000"/>
          <w:sz w:val="21"/>
          <w:szCs w:val="21"/>
        </w:rPr>
      </w:pPr>
      <w:r w:rsidRPr="0094357B">
        <w:rPr>
          <w:rFonts w:hint="eastAsia"/>
          <w:color w:val="000000"/>
          <w:sz w:val="21"/>
          <w:szCs w:val="21"/>
        </w:rPr>
        <w:t>④按公司持有份额确认共同经营因出售资产所产生的收入；</w:t>
      </w:r>
    </w:p>
    <w:p w:rsidR="00A2119D" w:rsidRPr="0094357B" w:rsidRDefault="00A2119D" w:rsidP="0094357B">
      <w:pPr>
        <w:pStyle w:val="a3"/>
        <w:spacing w:before="0" w:beforeAutospacing="0" w:after="0" w:afterAutospacing="0" w:line="360" w:lineRule="auto"/>
        <w:ind w:firstLine="420"/>
        <w:jc w:val="both"/>
        <w:divId w:val="1430157491"/>
        <w:rPr>
          <w:color w:val="000000"/>
          <w:sz w:val="21"/>
          <w:szCs w:val="21"/>
        </w:rPr>
      </w:pPr>
      <w:r w:rsidRPr="0094357B">
        <w:rPr>
          <w:rFonts w:hint="eastAsia"/>
          <w:color w:val="000000"/>
          <w:sz w:val="21"/>
          <w:szCs w:val="21"/>
        </w:rPr>
        <w:t>⑤确认单独所发生的费用，以及按公司持有份额确认共同经营发生的费用。</w:t>
      </w:r>
    </w:p>
    <w:p w:rsidR="00A2119D" w:rsidRPr="0094357B" w:rsidRDefault="00A2119D" w:rsidP="0094357B">
      <w:pPr>
        <w:pStyle w:val="a3"/>
        <w:spacing w:before="0" w:beforeAutospacing="0" w:after="0" w:afterAutospacing="0" w:line="360" w:lineRule="auto"/>
        <w:ind w:firstLine="420"/>
        <w:jc w:val="both"/>
        <w:divId w:val="1430157491"/>
        <w:rPr>
          <w:color w:val="000000"/>
          <w:sz w:val="21"/>
          <w:szCs w:val="21"/>
        </w:rPr>
      </w:pPr>
      <w:r w:rsidRPr="0094357B">
        <w:rPr>
          <w:rFonts w:hint="eastAsia"/>
          <w:color w:val="000000"/>
          <w:sz w:val="21"/>
          <w:szCs w:val="21"/>
        </w:rPr>
        <w:t>当公司为合营企业的合营方时，将对合营企业的投资确认为长期股权投资，并按照本财务报表附注长期股权投资所述方法进行核算。</w:t>
      </w:r>
    </w:p>
    <w:p w:rsidR="00A27D66" w:rsidRDefault="00A2119D">
      <w:pPr>
        <w:pStyle w:val="3"/>
        <w:spacing w:line="280" w:lineRule="exact"/>
        <w:jc w:val="left"/>
        <w:rPr>
          <w:rFonts w:ascii="宋体" w:hAnsi="宋体" w:cs="宋体"/>
          <w:b/>
          <w:bCs/>
        </w:rPr>
      </w:pPr>
      <w:bookmarkStart w:id="175" w:name="_Toc989060"/>
      <w:r>
        <w:rPr>
          <w:rFonts w:ascii="宋体" w:hAnsi="宋体" w:cs="宋体"/>
          <w:b/>
          <w:bCs/>
        </w:rPr>
        <w:t>9、现金及现金等价物的确定标准</w:t>
      </w:r>
      <w:bookmarkEnd w:id="175"/>
    </w:p>
    <w:p w:rsidR="00A2119D" w:rsidRPr="0094357B" w:rsidRDefault="00A2119D" w:rsidP="0094357B">
      <w:pPr>
        <w:pStyle w:val="a3"/>
        <w:spacing w:before="0" w:beforeAutospacing="0" w:after="0" w:afterAutospacing="0" w:line="360" w:lineRule="auto"/>
        <w:ind w:firstLine="420"/>
        <w:jc w:val="both"/>
        <w:divId w:val="696276665"/>
        <w:rPr>
          <w:color w:val="000000"/>
          <w:sz w:val="21"/>
          <w:szCs w:val="21"/>
        </w:rPr>
      </w:pPr>
      <w:r w:rsidRPr="0094357B">
        <w:rPr>
          <w:rFonts w:hint="eastAsia"/>
          <w:color w:val="000000"/>
          <w:sz w:val="21"/>
          <w:szCs w:val="21"/>
        </w:rPr>
        <w:t>现金指企业库存现金及可以随时用于支付的存款。现金等价物是指企业持有的期限短（一般指从购买日起三个月内到期）、流动性强、易于转换为已知金额现金、价值变动风险很小的投资。</w:t>
      </w:r>
    </w:p>
    <w:p w:rsidR="00A27D66" w:rsidRDefault="00A2119D">
      <w:pPr>
        <w:pStyle w:val="3"/>
        <w:spacing w:line="280" w:lineRule="exact"/>
        <w:jc w:val="left"/>
        <w:rPr>
          <w:rFonts w:ascii="宋体" w:hAnsi="宋体" w:cs="宋体"/>
          <w:b/>
          <w:bCs/>
        </w:rPr>
      </w:pPr>
      <w:bookmarkStart w:id="176" w:name="_Toc989061"/>
      <w:r>
        <w:rPr>
          <w:rFonts w:ascii="宋体" w:hAnsi="宋体" w:cs="宋体"/>
          <w:b/>
          <w:bCs/>
        </w:rPr>
        <w:t>10、外币业务和外币报表折算</w:t>
      </w:r>
      <w:bookmarkEnd w:id="176"/>
    </w:p>
    <w:p w:rsidR="00A2119D" w:rsidRPr="0094357B" w:rsidRDefault="00A2119D" w:rsidP="0094357B">
      <w:pPr>
        <w:pStyle w:val="a3"/>
        <w:spacing w:before="0" w:beforeAutospacing="0" w:after="0" w:afterAutospacing="0" w:line="360" w:lineRule="auto"/>
        <w:ind w:firstLine="420"/>
        <w:jc w:val="both"/>
        <w:divId w:val="374237153"/>
        <w:rPr>
          <w:color w:val="000000"/>
          <w:sz w:val="21"/>
          <w:szCs w:val="21"/>
        </w:rPr>
      </w:pPr>
      <w:r w:rsidRPr="0094357B">
        <w:rPr>
          <w:rFonts w:hint="eastAsia"/>
          <w:color w:val="000000"/>
          <w:sz w:val="21"/>
          <w:szCs w:val="21"/>
        </w:rPr>
        <w:t>（</w:t>
      </w:r>
      <w:r w:rsidRPr="0094357B">
        <w:rPr>
          <w:color w:val="000000"/>
          <w:sz w:val="21"/>
          <w:szCs w:val="21"/>
        </w:rPr>
        <w:t>1</w:t>
      </w:r>
      <w:r w:rsidRPr="0094357B">
        <w:rPr>
          <w:rFonts w:hint="eastAsia"/>
          <w:color w:val="000000"/>
          <w:sz w:val="21"/>
          <w:szCs w:val="21"/>
        </w:rPr>
        <w:t>）外币业务</w:t>
      </w:r>
    </w:p>
    <w:p w:rsidR="00A2119D" w:rsidRPr="0094357B" w:rsidRDefault="00A2119D" w:rsidP="0094357B">
      <w:pPr>
        <w:pStyle w:val="a3"/>
        <w:spacing w:before="0" w:beforeAutospacing="0" w:after="0" w:afterAutospacing="0" w:line="360" w:lineRule="auto"/>
        <w:ind w:firstLine="420"/>
        <w:jc w:val="both"/>
        <w:divId w:val="374237153"/>
        <w:rPr>
          <w:color w:val="000000"/>
          <w:sz w:val="21"/>
          <w:szCs w:val="21"/>
        </w:rPr>
      </w:pPr>
      <w:r w:rsidRPr="0094357B">
        <w:rPr>
          <w:rFonts w:hint="eastAsia"/>
          <w:color w:val="000000"/>
          <w:sz w:val="21"/>
          <w:szCs w:val="21"/>
        </w:rPr>
        <w:t>对发生的非本位</w:t>
      </w:r>
      <w:proofErr w:type="gramStart"/>
      <w:r w:rsidRPr="0094357B">
        <w:rPr>
          <w:rFonts w:hint="eastAsia"/>
          <w:color w:val="000000"/>
          <w:sz w:val="21"/>
          <w:szCs w:val="21"/>
        </w:rPr>
        <w:t>币经济</w:t>
      </w:r>
      <w:proofErr w:type="gramEnd"/>
      <w:r w:rsidRPr="0094357B">
        <w:rPr>
          <w:rFonts w:hint="eastAsia"/>
          <w:color w:val="000000"/>
          <w:sz w:val="21"/>
          <w:szCs w:val="21"/>
        </w:rPr>
        <w:t>业务，本公司按交易发生日的即期汇率折算为记账本位币金额。资产负债表日，对外币货币性项目，采用资产负债表日即期汇率折算。因资产负债表日即期汇率与初始确认时或者前一资产负债表日即期汇率不同而产生的汇兑差额，除：（</w:t>
      </w:r>
      <w:r w:rsidRPr="0094357B">
        <w:rPr>
          <w:color w:val="000000"/>
          <w:sz w:val="21"/>
          <w:szCs w:val="21"/>
        </w:rPr>
        <w:t>1</w:t>
      </w:r>
      <w:r w:rsidRPr="0094357B">
        <w:rPr>
          <w:rFonts w:hint="eastAsia"/>
          <w:color w:val="000000"/>
          <w:sz w:val="21"/>
          <w:szCs w:val="21"/>
        </w:rPr>
        <w:t>）符合资本化条件的外币专门借款的汇兑差额在资本</w:t>
      </w:r>
      <w:proofErr w:type="gramStart"/>
      <w:r w:rsidRPr="0094357B">
        <w:rPr>
          <w:rFonts w:hint="eastAsia"/>
          <w:color w:val="000000"/>
          <w:sz w:val="21"/>
          <w:szCs w:val="21"/>
        </w:rPr>
        <w:t>化期间</w:t>
      </w:r>
      <w:proofErr w:type="gramEnd"/>
      <w:r w:rsidRPr="0094357B">
        <w:rPr>
          <w:rFonts w:hint="eastAsia"/>
          <w:color w:val="000000"/>
          <w:sz w:val="21"/>
          <w:szCs w:val="21"/>
        </w:rPr>
        <w:t>予以资本化计入相关资产的成本；（</w:t>
      </w:r>
      <w:r w:rsidRPr="0094357B">
        <w:rPr>
          <w:color w:val="000000"/>
          <w:sz w:val="21"/>
          <w:szCs w:val="21"/>
        </w:rPr>
        <w:t>2</w:t>
      </w:r>
      <w:r w:rsidRPr="0094357B">
        <w:rPr>
          <w:rFonts w:hint="eastAsia"/>
          <w:color w:val="000000"/>
          <w:sz w:val="21"/>
          <w:szCs w:val="21"/>
        </w:rPr>
        <w:t>）为了规避外汇风险进行套期的套</w:t>
      </w:r>
      <w:proofErr w:type="gramStart"/>
      <w:r w:rsidRPr="0094357B">
        <w:rPr>
          <w:rFonts w:hint="eastAsia"/>
          <w:color w:val="000000"/>
          <w:sz w:val="21"/>
          <w:szCs w:val="21"/>
        </w:rPr>
        <w:t>期工具</w:t>
      </w:r>
      <w:proofErr w:type="gramEnd"/>
      <w:r w:rsidRPr="0094357B">
        <w:rPr>
          <w:rFonts w:hint="eastAsia"/>
          <w:color w:val="000000"/>
          <w:sz w:val="21"/>
          <w:szCs w:val="21"/>
        </w:rPr>
        <w:t>的汇兑差额按套期会计方法处理；（</w:t>
      </w:r>
      <w:r w:rsidRPr="0094357B">
        <w:rPr>
          <w:color w:val="000000"/>
          <w:sz w:val="21"/>
          <w:szCs w:val="21"/>
        </w:rPr>
        <w:t>3</w:t>
      </w:r>
      <w:r w:rsidRPr="0094357B">
        <w:rPr>
          <w:rFonts w:hint="eastAsia"/>
          <w:color w:val="000000"/>
          <w:sz w:val="21"/>
          <w:szCs w:val="21"/>
        </w:rPr>
        <w:t>）分类为以公允价值计量且其变动计入其他综合收益的货币性项目</w:t>
      </w:r>
      <w:proofErr w:type="gramStart"/>
      <w:r w:rsidRPr="0094357B">
        <w:rPr>
          <w:rFonts w:hint="eastAsia"/>
          <w:color w:val="000000"/>
          <w:sz w:val="21"/>
          <w:szCs w:val="21"/>
        </w:rPr>
        <w:t>除摊余成本</w:t>
      </w:r>
      <w:proofErr w:type="gramEnd"/>
      <w:r w:rsidRPr="0094357B">
        <w:rPr>
          <w:rFonts w:hint="eastAsia"/>
          <w:color w:val="000000"/>
          <w:sz w:val="21"/>
          <w:szCs w:val="21"/>
        </w:rPr>
        <w:t>之外的其他账面余额变动产生的汇兑差额计入其他综合收益外，计入当期损益；对以历史</w:t>
      </w:r>
      <w:r w:rsidR="00744A3C">
        <w:rPr>
          <w:rFonts w:hint="eastAsia"/>
          <w:color w:val="000000"/>
          <w:sz w:val="21"/>
          <w:szCs w:val="21"/>
        </w:rPr>
        <w:t>成本计量的外币非货币性项目，仍采用交易发生日的即期汇率</w:t>
      </w:r>
      <w:bookmarkStart w:id="177" w:name="_GoBack"/>
      <w:bookmarkEnd w:id="177"/>
      <w:r w:rsidRPr="0094357B">
        <w:rPr>
          <w:rFonts w:hint="eastAsia"/>
          <w:color w:val="000000"/>
          <w:sz w:val="21"/>
          <w:szCs w:val="21"/>
        </w:rPr>
        <w:t>折算；对以公允价值计量的外币非货币性项目，采用公允价值确定日的即期汇率折算，折算后的记账本位</w:t>
      </w:r>
      <w:proofErr w:type="gramStart"/>
      <w:r w:rsidRPr="0094357B">
        <w:rPr>
          <w:rFonts w:hint="eastAsia"/>
          <w:color w:val="000000"/>
          <w:sz w:val="21"/>
          <w:szCs w:val="21"/>
        </w:rPr>
        <w:t>币金额</w:t>
      </w:r>
      <w:proofErr w:type="gramEnd"/>
      <w:r w:rsidRPr="0094357B">
        <w:rPr>
          <w:rFonts w:hint="eastAsia"/>
          <w:color w:val="000000"/>
          <w:sz w:val="21"/>
          <w:szCs w:val="21"/>
        </w:rPr>
        <w:t>与原记账本位</w:t>
      </w:r>
      <w:proofErr w:type="gramStart"/>
      <w:r w:rsidRPr="0094357B">
        <w:rPr>
          <w:rFonts w:hint="eastAsia"/>
          <w:color w:val="000000"/>
          <w:sz w:val="21"/>
          <w:szCs w:val="21"/>
        </w:rPr>
        <w:t>币金额</w:t>
      </w:r>
      <w:proofErr w:type="gramEnd"/>
      <w:r w:rsidRPr="0094357B">
        <w:rPr>
          <w:rFonts w:hint="eastAsia"/>
          <w:color w:val="000000"/>
          <w:sz w:val="21"/>
          <w:szCs w:val="21"/>
        </w:rPr>
        <w:t>的差额，根据非</w:t>
      </w:r>
      <w:proofErr w:type="gramStart"/>
      <w:r w:rsidRPr="0094357B">
        <w:rPr>
          <w:rFonts w:hint="eastAsia"/>
          <w:color w:val="000000"/>
          <w:sz w:val="21"/>
          <w:szCs w:val="21"/>
        </w:rPr>
        <w:t>货币性项目的</w:t>
      </w:r>
      <w:proofErr w:type="gramEnd"/>
      <w:r w:rsidRPr="0094357B">
        <w:rPr>
          <w:rFonts w:hint="eastAsia"/>
          <w:color w:val="000000"/>
          <w:sz w:val="21"/>
          <w:szCs w:val="21"/>
        </w:rPr>
        <w:t>性质计入当期损益或其他综合收益。</w:t>
      </w:r>
    </w:p>
    <w:p w:rsidR="00A2119D" w:rsidRPr="0094357B" w:rsidRDefault="00A2119D" w:rsidP="0094357B">
      <w:pPr>
        <w:pStyle w:val="a3"/>
        <w:spacing w:before="0" w:beforeAutospacing="0" w:after="0" w:afterAutospacing="0" w:line="360" w:lineRule="auto"/>
        <w:ind w:firstLine="420"/>
        <w:jc w:val="both"/>
        <w:divId w:val="374237153"/>
        <w:rPr>
          <w:color w:val="000000"/>
          <w:sz w:val="21"/>
          <w:szCs w:val="21"/>
        </w:rPr>
      </w:pPr>
      <w:r w:rsidRPr="0094357B">
        <w:rPr>
          <w:rFonts w:hint="eastAsia"/>
          <w:color w:val="000000"/>
          <w:sz w:val="21"/>
          <w:szCs w:val="21"/>
        </w:rPr>
        <w:t>（</w:t>
      </w:r>
      <w:r w:rsidRPr="0094357B">
        <w:rPr>
          <w:color w:val="000000"/>
          <w:sz w:val="21"/>
          <w:szCs w:val="21"/>
        </w:rPr>
        <w:t>2</w:t>
      </w:r>
      <w:r w:rsidRPr="0094357B">
        <w:rPr>
          <w:rFonts w:hint="eastAsia"/>
          <w:color w:val="000000"/>
          <w:sz w:val="21"/>
          <w:szCs w:val="21"/>
        </w:rPr>
        <w:t>）外币报表折算的会计处理方法</w:t>
      </w:r>
    </w:p>
    <w:p w:rsidR="00A2119D" w:rsidRPr="0094357B" w:rsidRDefault="00A2119D" w:rsidP="0094357B">
      <w:pPr>
        <w:pStyle w:val="a3"/>
        <w:spacing w:before="0" w:beforeAutospacing="0" w:after="0" w:afterAutospacing="0" w:line="360" w:lineRule="auto"/>
        <w:ind w:firstLine="420"/>
        <w:jc w:val="both"/>
        <w:divId w:val="374237153"/>
        <w:rPr>
          <w:color w:val="000000"/>
          <w:sz w:val="21"/>
          <w:szCs w:val="21"/>
        </w:rPr>
      </w:pPr>
      <w:r w:rsidRPr="0094357B">
        <w:rPr>
          <w:rFonts w:hint="eastAsia"/>
          <w:color w:val="000000"/>
          <w:sz w:val="21"/>
          <w:szCs w:val="21"/>
        </w:rPr>
        <w:t>资产负债表日，将采用与本公司不同的记账本位币的境外经营子公司、合营企业、联营企业和分支机构外币财务报表进行折算前，本公司将调整境外经营的会计期间和会计政策，使之与本公司会计期间</w:t>
      </w:r>
      <w:r w:rsidRPr="0094357B">
        <w:rPr>
          <w:rFonts w:hint="eastAsia"/>
          <w:color w:val="000000"/>
          <w:sz w:val="21"/>
          <w:szCs w:val="21"/>
        </w:rPr>
        <w:lastRenderedPageBreak/>
        <w:t>和会计政策相一致，根据调整后会计政策及会计期间编制相应货币的财务报表，再按照以下方法对境外经营财务报表进行折算：</w:t>
      </w:r>
    </w:p>
    <w:p w:rsidR="00A2119D" w:rsidRPr="0094357B" w:rsidRDefault="00A2119D" w:rsidP="0094357B">
      <w:pPr>
        <w:pStyle w:val="a3"/>
        <w:spacing w:before="0" w:beforeAutospacing="0" w:after="0" w:afterAutospacing="0" w:line="360" w:lineRule="auto"/>
        <w:ind w:firstLine="420"/>
        <w:jc w:val="both"/>
        <w:divId w:val="374237153"/>
        <w:rPr>
          <w:color w:val="000000"/>
          <w:sz w:val="21"/>
          <w:szCs w:val="21"/>
        </w:rPr>
      </w:pPr>
      <w:r>
        <w:rPr>
          <w:rFonts w:hint="eastAsia"/>
          <w:color w:val="000000"/>
          <w:sz w:val="21"/>
          <w:szCs w:val="21"/>
        </w:rPr>
        <w:t>①</w:t>
      </w:r>
      <w:r w:rsidRPr="0094357B">
        <w:rPr>
          <w:rFonts w:hint="eastAsia"/>
          <w:color w:val="000000"/>
          <w:sz w:val="21"/>
          <w:szCs w:val="21"/>
        </w:rPr>
        <w:t>资产负债表中的资产和负债项目，采用资产负债表日的即期汇率折算，所有者权益项目除</w:t>
      </w:r>
      <w:r w:rsidRPr="0094357B">
        <w:rPr>
          <w:color w:val="000000"/>
          <w:sz w:val="21"/>
          <w:szCs w:val="21"/>
        </w:rPr>
        <w:t>“</w:t>
      </w:r>
      <w:r w:rsidRPr="0094357B">
        <w:rPr>
          <w:rFonts w:hint="eastAsia"/>
          <w:color w:val="000000"/>
          <w:sz w:val="21"/>
          <w:szCs w:val="21"/>
        </w:rPr>
        <w:t>未分配利润</w:t>
      </w:r>
      <w:r w:rsidRPr="0094357B">
        <w:rPr>
          <w:color w:val="000000"/>
          <w:sz w:val="21"/>
          <w:szCs w:val="21"/>
        </w:rPr>
        <w:t>”</w:t>
      </w:r>
      <w:r w:rsidRPr="0094357B">
        <w:rPr>
          <w:rFonts w:hint="eastAsia"/>
          <w:color w:val="000000"/>
          <w:sz w:val="21"/>
          <w:szCs w:val="21"/>
        </w:rPr>
        <w:t>项目外，其他项目采用发生时的即期汇率折算。</w:t>
      </w:r>
    </w:p>
    <w:p w:rsidR="00A2119D" w:rsidRPr="0094357B" w:rsidRDefault="00A2119D" w:rsidP="0094357B">
      <w:pPr>
        <w:pStyle w:val="a3"/>
        <w:spacing w:before="0" w:beforeAutospacing="0" w:after="0" w:afterAutospacing="0" w:line="360" w:lineRule="auto"/>
        <w:ind w:firstLine="420"/>
        <w:jc w:val="both"/>
        <w:divId w:val="374237153"/>
        <w:rPr>
          <w:color w:val="000000"/>
          <w:sz w:val="21"/>
          <w:szCs w:val="21"/>
        </w:rPr>
      </w:pPr>
      <w:r>
        <w:rPr>
          <w:rFonts w:hint="eastAsia"/>
          <w:color w:val="000000"/>
          <w:sz w:val="21"/>
          <w:szCs w:val="21"/>
        </w:rPr>
        <w:t>②</w:t>
      </w:r>
      <w:r w:rsidRPr="0094357B">
        <w:rPr>
          <w:rFonts w:hint="eastAsia"/>
          <w:color w:val="000000"/>
          <w:sz w:val="21"/>
          <w:szCs w:val="21"/>
        </w:rPr>
        <w:t>利润表中的收入和费用项目，采用交易发生日的即期汇率</w:t>
      </w:r>
      <w:r w:rsidRPr="0094357B">
        <w:rPr>
          <w:color w:val="000000"/>
          <w:sz w:val="21"/>
          <w:szCs w:val="21"/>
        </w:rPr>
        <w:t>/</w:t>
      </w:r>
      <w:r w:rsidRPr="0094357B">
        <w:rPr>
          <w:rFonts w:hint="eastAsia"/>
          <w:color w:val="000000"/>
          <w:sz w:val="21"/>
          <w:szCs w:val="21"/>
        </w:rPr>
        <w:t>即期汇率的近似汇率折算。</w:t>
      </w:r>
    </w:p>
    <w:p w:rsidR="00A2119D" w:rsidRPr="0094357B" w:rsidRDefault="00A2119D" w:rsidP="0094357B">
      <w:pPr>
        <w:pStyle w:val="a3"/>
        <w:spacing w:before="0" w:beforeAutospacing="0" w:after="0" w:afterAutospacing="0" w:line="360" w:lineRule="auto"/>
        <w:ind w:firstLine="420"/>
        <w:jc w:val="both"/>
        <w:divId w:val="374237153"/>
        <w:rPr>
          <w:color w:val="000000"/>
          <w:sz w:val="21"/>
          <w:szCs w:val="21"/>
        </w:rPr>
      </w:pPr>
      <w:r w:rsidRPr="0094357B">
        <w:rPr>
          <w:rFonts w:hint="eastAsia"/>
          <w:color w:val="000000"/>
          <w:sz w:val="21"/>
          <w:szCs w:val="21"/>
        </w:rPr>
        <w:t>③外币现金流量以及境外子公司的现金流量，采用现金流量发生日的即期汇率</w:t>
      </w:r>
      <w:r w:rsidRPr="0094357B">
        <w:rPr>
          <w:color w:val="000000"/>
          <w:sz w:val="21"/>
          <w:szCs w:val="21"/>
        </w:rPr>
        <w:t>/</w:t>
      </w:r>
      <w:r w:rsidRPr="0094357B">
        <w:rPr>
          <w:rFonts w:hint="eastAsia"/>
          <w:color w:val="000000"/>
          <w:sz w:val="21"/>
          <w:szCs w:val="21"/>
        </w:rPr>
        <w:t>即期汇率的近似汇率折算。汇率变动对现金的影响额应当作为调节项目，在现金流量表中单独列报。</w:t>
      </w:r>
    </w:p>
    <w:p w:rsidR="00A2119D" w:rsidRPr="0094357B" w:rsidRDefault="00A2119D" w:rsidP="0094357B">
      <w:pPr>
        <w:pStyle w:val="a3"/>
        <w:spacing w:before="0" w:beforeAutospacing="0" w:after="0" w:afterAutospacing="0" w:line="360" w:lineRule="auto"/>
        <w:ind w:firstLine="420"/>
        <w:jc w:val="both"/>
        <w:divId w:val="374237153"/>
        <w:rPr>
          <w:color w:val="000000"/>
          <w:sz w:val="21"/>
          <w:szCs w:val="21"/>
        </w:rPr>
      </w:pPr>
      <w:r w:rsidRPr="0094357B">
        <w:rPr>
          <w:rFonts w:hint="eastAsia"/>
          <w:color w:val="000000"/>
          <w:sz w:val="21"/>
          <w:szCs w:val="21"/>
        </w:rPr>
        <w:t>④产生的外币财务报表折算差额，在编制合并财务报表时，在合并资产负债表中股东权益项目下在</w:t>
      </w:r>
      <w:r w:rsidRPr="0094357B">
        <w:rPr>
          <w:color w:val="000000"/>
          <w:sz w:val="21"/>
          <w:szCs w:val="21"/>
        </w:rPr>
        <w:t>“</w:t>
      </w:r>
      <w:r w:rsidRPr="0094357B">
        <w:rPr>
          <w:rFonts w:hint="eastAsia"/>
          <w:color w:val="000000"/>
          <w:sz w:val="21"/>
          <w:szCs w:val="21"/>
        </w:rPr>
        <w:t>其他综合收益</w:t>
      </w:r>
      <w:r w:rsidRPr="0094357B">
        <w:rPr>
          <w:color w:val="000000"/>
          <w:sz w:val="21"/>
          <w:szCs w:val="21"/>
        </w:rPr>
        <w:t>”</w:t>
      </w:r>
      <w:r w:rsidRPr="0094357B">
        <w:rPr>
          <w:rFonts w:hint="eastAsia"/>
          <w:color w:val="000000"/>
          <w:sz w:val="21"/>
          <w:szCs w:val="21"/>
        </w:rPr>
        <w:t>项目列示。</w:t>
      </w:r>
    </w:p>
    <w:p w:rsidR="00A2119D" w:rsidRPr="0094357B" w:rsidRDefault="00A2119D" w:rsidP="0094357B">
      <w:pPr>
        <w:pStyle w:val="a3"/>
        <w:spacing w:before="0" w:beforeAutospacing="0" w:after="0" w:afterAutospacing="0" w:line="360" w:lineRule="auto"/>
        <w:ind w:firstLine="420"/>
        <w:jc w:val="both"/>
        <w:divId w:val="374237153"/>
        <w:rPr>
          <w:color w:val="000000"/>
          <w:sz w:val="21"/>
          <w:szCs w:val="21"/>
        </w:rPr>
      </w:pPr>
      <w:r>
        <w:rPr>
          <w:rFonts w:hint="eastAsia"/>
          <w:color w:val="000000"/>
          <w:sz w:val="21"/>
          <w:szCs w:val="21"/>
        </w:rPr>
        <w:t>处置境外经营并丧失控制权时，将资产负债表中股东权益项目下列示的、与该境外经营相关的外币报表折算差额，全部或按处置该境外经营的比例转入处置当期损益。</w:t>
      </w:r>
    </w:p>
    <w:p w:rsidR="00A27D66" w:rsidRDefault="00A2119D">
      <w:pPr>
        <w:pStyle w:val="3"/>
        <w:spacing w:line="280" w:lineRule="exact"/>
        <w:jc w:val="left"/>
        <w:rPr>
          <w:rFonts w:ascii="宋体" w:hAnsi="宋体" w:cs="宋体"/>
          <w:b/>
          <w:bCs/>
        </w:rPr>
      </w:pPr>
      <w:bookmarkStart w:id="178" w:name="_Toc989062"/>
      <w:r>
        <w:rPr>
          <w:rFonts w:ascii="宋体" w:hAnsi="宋体" w:cs="宋体"/>
          <w:b/>
          <w:bCs/>
        </w:rPr>
        <w:t>11、金融工具</w:t>
      </w:r>
      <w:bookmarkEnd w:id="178"/>
    </w:p>
    <w:p w:rsidR="00A2119D" w:rsidRPr="0094357B" w:rsidRDefault="00A2119D" w:rsidP="0094357B">
      <w:pPr>
        <w:pStyle w:val="a3"/>
        <w:spacing w:before="0" w:beforeAutospacing="0" w:after="0" w:afterAutospacing="0" w:line="360" w:lineRule="auto"/>
        <w:ind w:firstLine="420"/>
        <w:jc w:val="both"/>
        <w:divId w:val="1232279017"/>
        <w:rPr>
          <w:color w:val="000000"/>
          <w:sz w:val="21"/>
          <w:szCs w:val="21"/>
        </w:rPr>
      </w:pPr>
      <w:r w:rsidRPr="0094357B">
        <w:rPr>
          <w:rFonts w:hint="eastAsia"/>
          <w:color w:val="000000"/>
          <w:sz w:val="21"/>
          <w:szCs w:val="21"/>
        </w:rPr>
        <w:t>金融工具，是指形成一个企业的金融资产，并形成其他单位的金融负债或权益工具的合同。</w:t>
      </w:r>
    </w:p>
    <w:p w:rsidR="00A2119D" w:rsidRPr="0094357B" w:rsidRDefault="00A2119D" w:rsidP="0094357B">
      <w:pPr>
        <w:pStyle w:val="a3"/>
        <w:spacing w:before="0" w:beforeAutospacing="0" w:after="0" w:afterAutospacing="0" w:line="360" w:lineRule="auto"/>
        <w:ind w:firstLine="420"/>
        <w:jc w:val="both"/>
        <w:divId w:val="1232279017"/>
        <w:rPr>
          <w:color w:val="000000"/>
          <w:sz w:val="21"/>
          <w:szCs w:val="21"/>
        </w:rPr>
      </w:pPr>
      <w:r w:rsidRPr="0094357B">
        <w:rPr>
          <w:rFonts w:hint="eastAsia"/>
          <w:color w:val="000000"/>
          <w:sz w:val="21"/>
          <w:szCs w:val="21"/>
        </w:rPr>
        <w:t>（</w:t>
      </w:r>
      <w:r w:rsidRPr="0094357B">
        <w:rPr>
          <w:color w:val="000000"/>
          <w:sz w:val="21"/>
          <w:szCs w:val="21"/>
        </w:rPr>
        <w:t>1</w:t>
      </w:r>
      <w:r w:rsidRPr="0094357B">
        <w:rPr>
          <w:rFonts w:hint="eastAsia"/>
          <w:color w:val="000000"/>
          <w:sz w:val="21"/>
          <w:szCs w:val="21"/>
        </w:rPr>
        <w:t>）金融资产的分类、确认依据和计量方法</w:t>
      </w:r>
    </w:p>
    <w:p w:rsidR="00A2119D" w:rsidRPr="0094357B" w:rsidRDefault="00A2119D" w:rsidP="0094357B">
      <w:pPr>
        <w:pStyle w:val="a3"/>
        <w:spacing w:before="0" w:beforeAutospacing="0" w:after="0" w:afterAutospacing="0" w:line="360" w:lineRule="auto"/>
        <w:ind w:firstLine="420"/>
        <w:jc w:val="both"/>
        <w:divId w:val="1232279017"/>
        <w:rPr>
          <w:color w:val="000000"/>
          <w:sz w:val="21"/>
          <w:szCs w:val="21"/>
        </w:rPr>
      </w:pPr>
      <w:r w:rsidRPr="0094357B">
        <w:rPr>
          <w:rFonts w:hint="eastAsia"/>
          <w:color w:val="000000"/>
          <w:sz w:val="21"/>
          <w:szCs w:val="21"/>
        </w:rPr>
        <w:t>①金融资产的分类</w:t>
      </w:r>
    </w:p>
    <w:p w:rsidR="00A2119D" w:rsidRPr="0094357B" w:rsidRDefault="00A2119D" w:rsidP="0094357B">
      <w:pPr>
        <w:pStyle w:val="a3"/>
        <w:spacing w:before="0" w:beforeAutospacing="0" w:after="0" w:afterAutospacing="0" w:line="360" w:lineRule="auto"/>
        <w:ind w:firstLine="420"/>
        <w:jc w:val="both"/>
        <w:divId w:val="1232279017"/>
        <w:rPr>
          <w:color w:val="000000"/>
          <w:sz w:val="21"/>
          <w:szCs w:val="21"/>
        </w:rPr>
      </w:pPr>
      <w:r w:rsidRPr="0094357B">
        <w:rPr>
          <w:rFonts w:hint="eastAsia"/>
          <w:color w:val="000000"/>
          <w:sz w:val="21"/>
          <w:szCs w:val="21"/>
        </w:rPr>
        <w:t>本公司根据所管理金融资产的业务模式和金融资产的合同现金流量特征，将金融资产划分为三类：</w:t>
      </w:r>
      <w:r w:rsidRPr="0094357B">
        <w:rPr>
          <w:color w:val="000000"/>
          <w:sz w:val="21"/>
          <w:szCs w:val="21"/>
        </w:rPr>
        <w:t>A.</w:t>
      </w:r>
      <w:r w:rsidRPr="0094357B">
        <w:rPr>
          <w:rFonts w:hint="eastAsia"/>
          <w:color w:val="000000"/>
          <w:sz w:val="21"/>
          <w:szCs w:val="21"/>
        </w:rPr>
        <w:t>以摊</w:t>
      </w:r>
      <w:proofErr w:type="gramStart"/>
      <w:r w:rsidRPr="0094357B">
        <w:rPr>
          <w:rFonts w:hint="eastAsia"/>
          <w:color w:val="000000"/>
          <w:sz w:val="21"/>
          <w:szCs w:val="21"/>
        </w:rPr>
        <w:t>余成本</w:t>
      </w:r>
      <w:proofErr w:type="gramEnd"/>
      <w:r w:rsidRPr="0094357B">
        <w:rPr>
          <w:rFonts w:hint="eastAsia"/>
          <w:color w:val="000000"/>
          <w:sz w:val="21"/>
          <w:szCs w:val="21"/>
        </w:rPr>
        <w:t>计量的金融资产</w:t>
      </w:r>
      <w:r w:rsidRPr="0094357B">
        <w:rPr>
          <w:color w:val="000000"/>
          <w:sz w:val="21"/>
          <w:szCs w:val="21"/>
        </w:rPr>
        <w:t>;B.</w:t>
      </w:r>
      <w:r w:rsidRPr="0094357B">
        <w:rPr>
          <w:rFonts w:hint="eastAsia"/>
          <w:color w:val="000000"/>
          <w:sz w:val="21"/>
          <w:szCs w:val="21"/>
        </w:rPr>
        <w:t>以公允价值计量且其变动计入其他综合收益的金融资产</w:t>
      </w:r>
      <w:r w:rsidRPr="0094357B">
        <w:rPr>
          <w:color w:val="000000"/>
          <w:sz w:val="21"/>
          <w:szCs w:val="21"/>
        </w:rPr>
        <w:t>;C.</w:t>
      </w:r>
      <w:r w:rsidRPr="0094357B">
        <w:rPr>
          <w:rFonts w:hint="eastAsia"/>
          <w:color w:val="000000"/>
          <w:sz w:val="21"/>
          <w:szCs w:val="21"/>
        </w:rPr>
        <w:t>以公允价值计量且其变动计入当期损益的金融资产。</w:t>
      </w:r>
    </w:p>
    <w:p w:rsidR="00A2119D" w:rsidRPr="0094357B" w:rsidRDefault="00A2119D" w:rsidP="0094357B">
      <w:pPr>
        <w:pStyle w:val="a3"/>
        <w:spacing w:before="0" w:beforeAutospacing="0" w:after="0" w:afterAutospacing="0" w:line="360" w:lineRule="auto"/>
        <w:ind w:firstLine="420"/>
        <w:jc w:val="both"/>
        <w:divId w:val="1232279017"/>
        <w:rPr>
          <w:color w:val="000000"/>
          <w:sz w:val="21"/>
          <w:szCs w:val="21"/>
        </w:rPr>
      </w:pPr>
      <w:r w:rsidRPr="0094357B">
        <w:rPr>
          <w:rFonts w:hint="eastAsia"/>
          <w:color w:val="000000"/>
          <w:sz w:val="21"/>
          <w:szCs w:val="21"/>
        </w:rPr>
        <w:t>②金融资产的初始计量</w:t>
      </w:r>
    </w:p>
    <w:p w:rsidR="00A2119D" w:rsidRPr="0094357B" w:rsidRDefault="00A2119D" w:rsidP="0094357B">
      <w:pPr>
        <w:pStyle w:val="a3"/>
        <w:spacing w:before="0" w:beforeAutospacing="0" w:after="0" w:afterAutospacing="0" w:line="360" w:lineRule="auto"/>
        <w:ind w:firstLine="420"/>
        <w:jc w:val="both"/>
        <w:divId w:val="1232279017"/>
        <w:rPr>
          <w:color w:val="000000"/>
          <w:sz w:val="21"/>
          <w:szCs w:val="21"/>
        </w:rPr>
      </w:pPr>
      <w:r w:rsidRPr="0094357B">
        <w:rPr>
          <w:rFonts w:hint="eastAsia"/>
          <w:color w:val="000000"/>
          <w:sz w:val="21"/>
          <w:szCs w:val="21"/>
        </w:rPr>
        <w:t>金融资产在初始确认时以公允价值计量。对于以公允价值计量且其变动计入当期损益的金融资产，相关交易费用直接计入当期损益；对于其他类别的金融资产，相关交易费用计入初始确认金额。对于公司初始确认的应收</w:t>
      </w:r>
      <w:proofErr w:type="gramStart"/>
      <w:r w:rsidRPr="0094357B">
        <w:rPr>
          <w:rFonts w:hint="eastAsia"/>
          <w:color w:val="000000"/>
          <w:sz w:val="21"/>
          <w:szCs w:val="21"/>
        </w:rPr>
        <w:t>账款未</w:t>
      </w:r>
      <w:proofErr w:type="gramEnd"/>
      <w:r w:rsidRPr="0094357B">
        <w:rPr>
          <w:rFonts w:hint="eastAsia"/>
          <w:color w:val="000000"/>
          <w:sz w:val="21"/>
          <w:szCs w:val="21"/>
        </w:rPr>
        <w:t>包含《企业会计准则第</w:t>
      </w:r>
      <w:r w:rsidRPr="0094357B">
        <w:rPr>
          <w:color w:val="000000"/>
          <w:sz w:val="21"/>
          <w:szCs w:val="21"/>
        </w:rPr>
        <w:t>14</w:t>
      </w:r>
      <w:r w:rsidRPr="0094357B">
        <w:rPr>
          <w:rFonts w:hint="eastAsia"/>
          <w:color w:val="000000"/>
          <w:sz w:val="21"/>
          <w:szCs w:val="21"/>
        </w:rPr>
        <w:t>号</w:t>
      </w:r>
      <w:r w:rsidRPr="0094357B">
        <w:rPr>
          <w:color w:val="000000"/>
          <w:sz w:val="21"/>
          <w:szCs w:val="21"/>
        </w:rPr>
        <w:t>——</w:t>
      </w:r>
      <w:r w:rsidRPr="0094357B">
        <w:rPr>
          <w:rFonts w:hint="eastAsia"/>
          <w:color w:val="000000"/>
          <w:sz w:val="21"/>
          <w:szCs w:val="21"/>
        </w:rPr>
        <w:t>收入》所定义的重大融资成分或根据《企业会计准则第</w:t>
      </w:r>
      <w:r w:rsidRPr="0094357B">
        <w:rPr>
          <w:color w:val="000000"/>
          <w:sz w:val="21"/>
          <w:szCs w:val="21"/>
        </w:rPr>
        <w:t>14</w:t>
      </w:r>
      <w:r w:rsidRPr="0094357B">
        <w:rPr>
          <w:rFonts w:hint="eastAsia"/>
          <w:color w:val="000000"/>
          <w:sz w:val="21"/>
          <w:szCs w:val="21"/>
        </w:rPr>
        <w:t>号</w:t>
      </w:r>
      <w:r w:rsidRPr="0094357B">
        <w:rPr>
          <w:color w:val="000000"/>
          <w:sz w:val="21"/>
          <w:szCs w:val="21"/>
        </w:rPr>
        <w:t>——</w:t>
      </w:r>
      <w:r w:rsidRPr="0094357B">
        <w:rPr>
          <w:rFonts w:hint="eastAsia"/>
          <w:color w:val="000000"/>
          <w:sz w:val="21"/>
          <w:szCs w:val="21"/>
        </w:rPr>
        <w:t>收入》规定不考虑不超过一年的合同中的融资成分的，按照预期有权收取的对价的交易价格进行初始计量。</w:t>
      </w:r>
    </w:p>
    <w:p w:rsidR="00A2119D" w:rsidRPr="0094357B" w:rsidRDefault="00A2119D" w:rsidP="0094357B">
      <w:pPr>
        <w:pStyle w:val="a3"/>
        <w:spacing w:before="0" w:beforeAutospacing="0" w:after="0" w:afterAutospacing="0" w:line="360" w:lineRule="auto"/>
        <w:ind w:firstLine="420"/>
        <w:jc w:val="both"/>
        <w:divId w:val="1232279017"/>
        <w:rPr>
          <w:color w:val="000000"/>
          <w:sz w:val="21"/>
          <w:szCs w:val="21"/>
        </w:rPr>
      </w:pPr>
      <w:r w:rsidRPr="0094357B">
        <w:rPr>
          <w:rFonts w:hint="eastAsia"/>
          <w:color w:val="000000"/>
          <w:sz w:val="21"/>
          <w:szCs w:val="21"/>
        </w:rPr>
        <w:t>③金融资产的后续计量</w:t>
      </w:r>
    </w:p>
    <w:p w:rsidR="00A2119D" w:rsidRPr="0094357B" w:rsidRDefault="00A2119D" w:rsidP="0094357B">
      <w:pPr>
        <w:pStyle w:val="a3"/>
        <w:spacing w:before="0" w:beforeAutospacing="0" w:after="0" w:afterAutospacing="0" w:line="360" w:lineRule="auto"/>
        <w:ind w:firstLine="420"/>
        <w:jc w:val="both"/>
        <w:divId w:val="1232279017"/>
        <w:rPr>
          <w:color w:val="000000"/>
          <w:sz w:val="21"/>
          <w:szCs w:val="21"/>
        </w:rPr>
      </w:pPr>
      <w:r w:rsidRPr="0094357B">
        <w:rPr>
          <w:color w:val="000000"/>
          <w:sz w:val="21"/>
          <w:szCs w:val="21"/>
        </w:rPr>
        <w:t>A.</w:t>
      </w:r>
      <w:r w:rsidRPr="0094357B">
        <w:rPr>
          <w:rFonts w:hint="eastAsia"/>
          <w:color w:val="000000"/>
          <w:sz w:val="21"/>
          <w:szCs w:val="21"/>
        </w:rPr>
        <w:t>以摊</w:t>
      </w:r>
      <w:proofErr w:type="gramStart"/>
      <w:r w:rsidRPr="0094357B">
        <w:rPr>
          <w:rFonts w:hint="eastAsia"/>
          <w:color w:val="000000"/>
          <w:sz w:val="21"/>
          <w:szCs w:val="21"/>
        </w:rPr>
        <w:t>余成本</w:t>
      </w:r>
      <w:proofErr w:type="gramEnd"/>
      <w:r w:rsidRPr="0094357B">
        <w:rPr>
          <w:rFonts w:hint="eastAsia"/>
          <w:color w:val="000000"/>
          <w:sz w:val="21"/>
          <w:szCs w:val="21"/>
        </w:rPr>
        <w:t>计量的金融资产</w:t>
      </w:r>
    </w:p>
    <w:p w:rsidR="00A2119D" w:rsidRPr="0094357B" w:rsidRDefault="00A2119D" w:rsidP="0094357B">
      <w:pPr>
        <w:pStyle w:val="a3"/>
        <w:spacing w:before="0" w:beforeAutospacing="0" w:after="0" w:afterAutospacing="0" w:line="360" w:lineRule="auto"/>
        <w:ind w:firstLine="420"/>
        <w:jc w:val="both"/>
        <w:divId w:val="1232279017"/>
        <w:rPr>
          <w:color w:val="000000"/>
          <w:sz w:val="21"/>
          <w:szCs w:val="21"/>
        </w:rPr>
      </w:pPr>
      <w:r w:rsidRPr="0094357B">
        <w:rPr>
          <w:rFonts w:hint="eastAsia"/>
          <w:color w:val="000000"/>
          <w:sz w:val="21"/>
          <w:szCs w:val="21"/>
        </w:rPr>
        <w:t>公司管理此类金融资产的业务模式为以收取合同现金流量为目标，且此类金融资产的合同现金流量特征与基本借贷安排相一致，即在特定日期产生的现金流量，仅为对本金和以</w:t>
      </w:r>
      <w:proofErr w:type="gramStart"/>
      <w:r w:rsidRPr="0094357B">
        <w:rPr>
          <w:rFonts w:hint="eastAsia"/>
          <w:color w:val="000000"/>
          <w:sz w:val="21"/>
          <w:szCs w:val="21"/>
        </w:rPr>
        <w:t>未偿付本</w:t>
      </w:r>
      <w:proofErr w:type="gramEnd"/>
      <w:r w:rsidRPr="0094357B">
        <w:rPr>
          <w:rFonts w:hint="eastAsia"/>
          <w:color w:val="000000"/>
          <w:sz w:val="21"/>
          <w:szCs w:val="21"/>
        </w:rPr>
        <w:t>金金额为基础的利息的支付。公司对于此类金融资产，采用实际利率法，按照摊</w:t>
      </w:r>
      <w:proofErr w:type="gramStart"/>
      <w:r w:rsidRPr="0094357B">
        <w:rPr>
          <w:rFonts w:hint="eastAsia"/>
          <w:color w:val="000000"/>
          <w:sz w:val="21"/>
          <w:szCs w:val="21"/>
        </w:rPr>
        <w:t>余成本</w:t>
      </w:r>
      <w:proofErr w:type="gramEnd"/>
      <w:r w:rsidRPr="0094357B">
        <w:rPr>
          <w:rFonts w:hint="eastAsia"/>
          <w:color w:val="000000"/>
          <w:sz w:val="21"/>
          <w:szCs w:val="21"/>
        </w:rPr>
        <w:t>进行后续计量。以摊</w:t>
      </w:r>
      <w:proofErr w:type="gramStart"/>
      <w:r w:rsidRPr="0094357B">
        <w:rPr>
          <w:rFonts w:hint="eastAsia"/>
          <w:color w:val="000000"/>
          <w:sz w:val="21"/>
          <w:szCs w:val="21"/>
        </w:rPr>
        <w:t>余成本</w:t>
      </w:r>
      <w:proofErr w:type="gramEnd"/>
      <w:r w:rsidRPr="0094357B">
        <w:rPr>
          <w:rFonts w:hint="eastAsia"/>
          <w:color w:val="000000"/>
          <w:sz w:val="21"/>
          <w:szCs w:val="21"/>
        </w:rPr>
        <w:t>计量</w:t>
      </w:r>
      <w:r w:rsidRPr="0094357B">
        <w:rPr>
          <w:rFonts w:hint="eastAsia"/>
          <w:color w:val="000000"/>
          <w:sz w:val="21"/>
          <w:szCs w:val="21"/>
        </w:rPr>
        <w:lastRenderedPageBreak/>
        <w:t>且不属于任何套</w:t>
      </w:r>
      <w:proofErr w:type="gramStart"/>
      <w:r w:rsidRPr="0094357B">
        <w:rPr>
          <w:rFonts w:hint="eastAsia"/>
          <w:color w:val="000000"/>
          <w:sz w:val="21"/>
          <w:szCs w:val="21"/>
        </w:rPr>
        <w:t>期关系</w:t>
      </w:r>
      <w:proofErr w:type="gramEnd"/>
      <w:r w:rsidRPr="0094357B">
        <w:rPr>
          <w:rFonts w:hint="eastAsia"/>
          <w:color w:val="000000"/>
          <w:sz w:val="21"/>
          <w:szCs w:val="21"/>
        </w:rPr>
        <w:t>的一部分的金融资产所产生的利得或损失，应当在终止确认、重分类、按照实际利率法摊销或确认减值时，计入当期损益。</w:t>
      </w:r>
    </w:p>
    <w:p w:rsidR="00A2119D" w:rsidRPr="0094357B" w:rsidRDefault="0094357B" w:rsidP="0094357B">
      <w:pPr>
        <w:pStyle w:val="a3"/>
        <w:spacing w:before="0" w:beforeAutospacing="0" w:after="0" w:afterAutospacing="0" w:line="360" w:lineRule="auto"/>
        <w:ind w:firstLine="420"/>
        <w:jc w:val="both"/>
        <w:divId w:val="1232279017"/>
        <w:rPr>
          <w:color w:val="000000"/>
          <w:sz w:val="21"/>
          <w:szCs w:val="21"/>
        </w:rPr>
      </w:pPr>
      <w:r w:rsidRPr="0094357B">
        <w:rPr>
          <w:rFonts w:hint="eastAsia"/>
          <w:color w:val="000000"/>
          <w:sz w:val="21"/>
          <w:szCs w:val="21"/>
        </w:rPr>
        <w:t>B</w:t>
      </w:r>
      <w:r w:rsidRPr="0094357B">
        <w:rPr>
          <w:color w:val="000000"/>
          <w:sz w:val="21"/>
          <w:szCs w:val="21"/>
        </w:rPr>
        <w:t>.</w:t>
      </w:r>
      <w:r w:rsidR="00A2119D" w:rsidRPr="0094357B">
        <w:rPr>
          <w:rFonts w:hint="eastAsia"/>
          <w:color w:val="000000"/>
          <w:sz w:val="21"/>
          <w:szCs w:val="21"/>
        </w:rPr>
        <w:t>以公允价值计量且其变动计入其他综合收益的金融资产</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此类金融资产终止确认时，之前计入其他综合收益的累计利得或损失从其他综合收益中转出，计入当期损益。</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对于</w:t>
      </w:r>
      <w:proofErr w:type="gramStart"/>
      <w:r w:rsidRPr="0094357B">
        <w:rPr>
          <w:rFonts w:cs="Times New Roman" w:hint="eastAsia"/>
          <w:color w:val="000000"/>
          <w:sz w:val="21"/>
          <w:szCs w:val="21"/>
        </w:rPr>
        <w:t>非交易</w:t>
      </w:r>
      <w:proofErr w:type="gramEnd"/>
      <w:r w:rsidRPr="0094357B">
        <w:rPr>
          <w:rFonts w:cs="Times New Roman" w:hint="eastAsia"/>
          <w:color w:val="000000"/>
          <w:sz w:val="21"/>
          <w:szCs w:val="21"/>
        </w:rPr>
        <w:t>性权益工具投资，公司可在初始确认时将其不可撤销地指定为以公允价值计量且其变动计入其他综合收益的金融资产，其公允价值的后续变动计入其他综合收益，不需计提减值准备。除了获得的股利收入（明确作为投资成本部分收回的股利收入除外）计入当期损益外，其他相关的利得和损失（包括汇兑损益）均应当计入其他综合收益，且后续不得转入损益。该类金融资产终止确认时，之前计入其他综合收益的累计利得或损失应当从其他综合收益中转出，计入留存收益。</w:t>
      </w:r>
    </w:p>
    <w:p w:rsidR="00A2119D" w:rsidRPr="0094357B" w:rsidRDefault="0094357B" w:rsidP="0094357B">
      <w:pPr>
        <w:pStyle w:val="a3"/>
        <w:spacing w:before="0" w:beforeAutospacing="0" w:after="0" w:afterAutospacing="0" w:line="360" w:lineRule="auto"/>
        <w:ind w:firstLine="420"/>
        <w:jc w:val="both"/>
        <w:divId w:val="1232279017"/>
        <w:rPr>
          <w:color w:val="000000"/>
          <w:sz w:val="21"/>
          <w:szCs w:val="21"/>
        </w:rPr>
      </w:pPr>
      <w:r w:rsidRPr="0094357B">
        <w:rPr>
          <w:rFonts w:hint="eastAsia"/>
          <w:color w:val="000000"/>
          <w:sz w:val="21"/>
          <w:szCs w:val="21"/>
        </w:rPr>
        <w:t>C</w:t>
      </w:r>
      <w:r w:rsidRPr="0094357B">
        <w:rPr>
          <w:color w:val="000000"/>
          <w:sz w:val="21"/>
          <w:szCs w:val="21"/>
        </w:rPr>
        <w:t>.</w:t>
      </w:r>
      <w:r w:rsidR="00A2119D" w:rsidRPr="0094357B">
        <w:rPr>
          <w:rFonts w:hint="eastAsia"/>
          <w:color w:val="000000"/>
          <w:sz w:val="21"/>
          <w:szCs w:val="21"/>
        </w:rPr>
        <w:t>以公允价值计量且其变动计入当期损益的金融资产</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除上述以摊</w:t>
      </w:r>
      <w:proofErr w:type="gramStart"/>
      <w:r w:rsidRPr="0094357B">
        <w:rPr>
          <w:rFonts w:cs="Times New Roman" w:hint="eastAsia"/>
          <w:color w:val="000000"/>
          <w:sz w:val="21"/>
          <w:szCs w:val="21"/>
        </w:rPr>
        <w:t>余成本</w:t>
      </w:r>
      <w:proofErr w:type="gramEnd"/>
      <w:r w:rsidRPr="0094357B">
        <w:rPr>
          <w:rFonts w:cs="Times New Roman" w:hint="eastAsia"/>
          <w:color w:val="000000"/>
          <w:sz w:val="21"/>
          <w:szCs w:val="21"/>
        </w:rPr>
        <w:t>计量的金融资产和以公允价值计量且其变动计入其他综合收益的金融资产外，公司将其余所有的金融资产分类为以公允价值计量且其变动计入当期损益的金融资产。此外，在初始确认时，公司为了消除或显著减少会计错配，将部分金融资产指定为以公允价值计量且其变动计入当期损益的金融资产。此类金融资产按公允价值进行后续计量，公允价值变动计入当期损益。</w:t>
      </w:r>
    </w:p>
    <w:p w:rsidR="00A2119D" w:rsidRPr="0094357B" w:rsidRDefault="00A2119D" w:rsidP="0094357B">
      <w:pPr>
        <w:pStyle w:val="a3"/>
        <w:spacing w:before="0" w:beforeAutospacing="0" w:after="0" w:afterAutospacing="0" w:line="360" w:lineRule="auto"/>
        <w:ind w:firstLine="420"/>
        <w:jc w:val="both"/>
        <w:divId w:val="1232279017"/>
        <w:rPr>
          <w:color w:val="000000"/>
          <w:sz w:val="21"/>
          <w:szCs w:val="21"/>
        </w:rPr>
      </w:pPr>
      <w:r w:rsidRPr="0094357B">
        <w:rPr>
          <w:rFonts w:hint="eastAsia"/>
          <w:color w:val="000000"/>
          <w:sz w:val="21"/>
          <w:szCs w:val="21"/>
        </w:rPr>
        <w:t>金融负债的分类、确认依据和计量方法</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①金融负债的分类</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本公司金融负债于初始确认时分类为：</w:t>
      </w:r>
      <w:r w:rsidRPr="0094357B">
        <w:rPr>
          <w:rFonts w:cs="Times New Roman"/>
          <w:color w:val="000000"/>
          <w:sz w:val="21"/>
          <w:szCs w:val="21"/>
        </w:rPr>
        <w:t>A.</w:t>
      </w:r>
      <w:r w:rsidRPr="0094357B">
        <w:rPr>
          <w:rFonts w:cs="Times New Roman" w:hint="eastAsia"/>
          <w:color w:val="000000"/>
          <w:sz w:val="21"/>
          <w:szCs w:val="21"/>
        </w:rPr>
        <w:t>以公允价值计量且其变动计入当期损益的金融负债；</w:t>
      </w:r>
      <w:r w:rsidRPr="0094357B">
        <w:rPr>
          <w:rFonts w:cs="Times New Roman"/>
          <w:color w:val="000000"/>
          <w:sz w:val="21"/>
          <w:szCs w:val="21"/>
        </w:rPr>
        <w:t>B.</w:t>
      </w:r>
      <w:r w:rsidRPr="0094357B">
        <w:rPr>
          <w:rFonts w:cs="Times New Roman" w:hint="eastAsia"/>
          <w:color w:val="000000"/>
          <w:sz w:val="21"/>
          <w:szCs w:val="21"/>
        </w:rPr>
        <w:t>金融资产转移不符合终止确认条件或继续涉入被转移金融资产所形成的金融负债</w:t>
      </w:r>
      <w:r w:rsidRPr="0094357B">
        <w:rPr>
          <w:rFonts w:cs="Times New Roman"/>
          <w:color w:val="000000"/>
          <w:sz w:val="21"/>
          <w:szCs w:val="21"/>
        </w:rPr>
        <w:t>;C.</w:t>
      </w:r>
      <w:r w:rsidRPr="0094357B">
        <w:rPr>
          <w:rFonts w:cs="Times New Roman" w:hint="eastAsia"/>
          <w:color w:val="000000"/>
          <w:sz w:val="21"/>
          <w:szCs w:val="21"/>
        </w:rPr>
        <w:t>属于上述</w:t>
      </w:r>
      <w:r w:rsidRPr="0094357B">
        <w:rPr>
          <w:rFonts w:cs="Times New Roman"/>
          <w:color w:val="000000"/>
          <w:sz w:val="21"/>
          <w:szCs w:val="21"/>
        </w:rPr>
        <w:t>A.</w:t>
      </w:r>
      <w:r w:rsidRPr="0094357B">
        <w:rPr>
          <w:rFonts w:cs="Times New Roman" w:hint="eastAsia"/>
          <w:color w:val="000000"/>
          <w:sz w:val="21"/>
          <w:szCs w:val="21"/>
        </w:rPr>
        <w:t>或</w:t>
      </w:r>
      <w:r w:rsidRPr="0094357B">
        <w:rPr>
          <w:rFonts w:cs="Times New Roman"/>
          <w:color w:val="000000"/>
          <w:sz w:val="21"/>
          <w:szCs w:val="21"/>
        </w:rPr>
        <w:t>B.</w:t>
      </w:r>
      <w:r w:rsidRPr="0094357B">
        <w:rPr>
          <w:rFonts w:cs="Times New Roman" w:hint="eastAsia"/>
          <w:color w:val="000000"/>
          <w:sz w:val="21"/>
          <w:szCs w:val="21"/>
        </w:rPr>
        <w:t>的财务担保合同，以及不属于上述</w:t>
      </w:r>
      <w:r w:rsidRPr="0094357B">
        <w:rPr>
          <w:rFonts w:cs="Times New Roman"/>
          <w:color w:val="000000"/>
          <w:sz w:val="21"/>
          <w:szCs w:val="21"/>
        </w:rPr>
        <w:t>A.</w:t>
      </w:r>
      <w:r w:rsidRPr="0094357B">
        <w:rPr>
          <w:rFonts w:cs="Times New Roman" w:hint="eastAsia"/>
          <w:color w:val="000000"/>
          <w:sz w:val="21"/>
          <w:szCs w:val="21"/>
        </w:rPr>
        <w:t>并以低于市场利率贷款的贷款承诺</w:t>
      </w:r>
      <w:r w:rsidRPr="0094357B">
        <w:rPr>
          <w:rFonts w:cs="Times New Roman"/>
          <w:color w:val="000000"/>
          <w:sz w:val="21"/>
          <w:szCs w:val="21"/>
        </w:rPr>
        <w:t>;D.</w:t>
      </w:r>
      <w:r w:rsidRPr="0094357B">
        <w:rPr>
          <w:rFonts w:cs="Times New Roman" w:hint="eastAsia"/>
          <w:color w:val="000000"/>
          <w:sz w:val="21"/>
          <w:szCs w:val="21"/>
        </w:rPr>
        <w:t>以摊</w:t>
      </w:r>
      <w:proofErr w:type="gramStart"/>
      <w:r w:rsidRPr="0094357B">
        <w:rPr>
          <w:rFonts w:cs="Times New Roman" w:hint="eastAsia"/>
          <w:color w:val="000000"/>
          <w:sz w:val="21"/>
          <w:szCs w:val="21"/>
        </w:rPr>
        <w:t>余成本</w:t>
      </w:r>
      <w:proofErr w:type="gramEnd"/>
      <w:r w:rsidRPr="0094357B">
        <w:rPr>
          <w:rFonts w:cs="Times New Roman" w:hint="eastAsia"/>
          <w:color w:val="000000"/>
          <w:sz w:val="21"/>
          <w:szCs w:val="21"/>
        </w:rPr>
        <w:t>计量的金融负债。</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②金融负债的初始计量</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金融负债初始确认时以公允价值计量。对于以公允价值计量且其变动计入当期损益的金融负债，相关交易费用直接计入当期损益，对于其他类别的金融负债，其相关交易费用计入其初始确认金额。</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③金融负债的后续计量</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A.</w:t>
      </w:r>
      <w:r w:rsidRPr="0094357B">
        <w:rPr>
          <w:rFonts w:cs="Times New Roman" w:hint="eastAsia"/>
          <w:color w:val="000000"/>
          <w:sz w:val="21"/>
          <w:szCs w:val="21"/>
        </w:rPr>
        <w:t>以公允价值计量且其变动计入当期损益的金融负债</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以公允价值计量且其变动计入当期损益的金融负债，包括交易性金融负债（</w:t>
      </w:r>
      <w:proofErr w:type="gramStart"/>
      <w:r w:rsidRPr="0094357B">
        <w:rPr>
          <w:rFonts w:cs="Times New Roman" w:hint="eastAsia"/>
          <w:color w:val="000000"/>
          <w:sz w:val="21"/>
          <w:szCs w:val="21"/>
        </w:rPr>
        <w:t>含属于</w:t>
      </w:r>
      <w:proofErr w:type="gramEnd"/>
      <w:r w:rsidRPr="0094357B">
        <w:rPr>
          <w:rFonts w:cs="Times New Roman" w:hint="eastAsia"/>
          <w:color w:val="000000"/>
          <w:sz w:val="21"/>
          <w:szCs w:val="21"/>
        </w:rPr>
        <w:t>金融负债的衍生工具）和指定为以公允价值计量且其变动计入当期损益的金融负债。</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lastRenderedPageBreak/>
        <w:t>交易性金融负债（</w:t>
      </w:r>
      <w:proofErr w:type="gramStart"/>
      <w:r w:rsidRPr="0094357B">
        <w:rPr>
          <w:rFonts w:cs="Times New Roman" w:hint="eastAsia"/>
          <w:color w:val="000000"/>
          <w:sz w:val="21"/>
          <w:szCs w:val="21"/>
        </w:rPr>
        <w:t>含属于</w:t>
      </w:r>
      <w:proofErr w:type="gramEnd"/>
      <w:r w:rsidRPr="0094357B">
        <w:rPr>
          <w:rFonts w:cs="Times New Roman" w:hint="eastAsia"/>
          <w:color w:val="000000"/>
          <w:sz w:val="21"/>
          <w:szCs w:val="21"/>
        </w:rPr>
        <w:t>金融负债的衍生工具），按照公允价值进行后续计量，除与套期会计有关外，公允价值变动计入当期损益。</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被指定为以公允价值计量且其变动计入当期损益的金融负债，因公司自身信用风险变动引起的公允价值变动计入其他综合收益，终止确认时，计入其他综合收益的自身信用风险变动引起的其公允价值累计变动额转入留存收益；其他公允价值变动计入当期损益。若按上述方式对该等金融负债的自身信用风险变动的影响进行处理会造成或扩大损益中的会计错配的，公司将该金融负债的全部利得或损失（包括企业自身信用风险变动的影响金额）计入当期损益。</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B.</w:t>
      </w:r>
      <w:r w:rsidRPr="0094357B">
        <w:rPr>
          <w:rFonts w:cs="Times New Roman" w:hint="eastAsia"/>
          <w:color w:val="000000"/>
          <w:sz w:val="21"/>
          <w:szCs w:val="21"/>
        </w:rPr>
        <w:t>金融资产转移不符合终止确认条件或继续涉入被转移金融资产所形成的金融负债</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按照《企业会计准则第</w:t>
      </w:r>
      <w:r w:rsidRPr="0094357B">
        <w:rPr>
          <w:rFonts w:cs="Times New Roman"/>
          <w:color w:val="000000"/>
          <w:sz w:val="21"/>
          <w:szCs w:val="21"/>
        </w:rPr>
        <w:t>23</w:t>
      </w:r>
      <w:r w:rsidRPr="0094357B">
        <w:rPr>
          <w:rFonts w:cs="Times New Roman" w:hint="eastAsia"/>
          <w:color w:val="000000"/>
          <w:sz w:val="21"/>
          <w:szCs w:val="21"/>
        </w:rPr>
        <w:t>号</w:t>
      </w:r>
      <w:r w:rsidRPr="0094357B">
        <w:rPr>
          <w:rFonts w:cs="Times New Roman"/>
          <w:color w:val="000000"/>
          <w:sz w:val="21"/>
          <w:szCs w:val="21"/>
        </w:rPr>
        <w:t>——</w:t>
      </w:r>
      <w:r w:rsidRPr="0094357B">
        <w:rPr>
          <w:rFonts w:cs="Times New Roman" w:hint="eastAsia"/>
          <w:color w:val="000000"/>
          <w:sz w:val="21"/>
          <w:szCs w:val="21"/>
        </w:rPr>
        <w:t>金融资产转移》相关规定进行计量。</w:t>
      </w:r>
    </w:p>
    <w:p w:rsidR="00A2119D" w:rsidRPr="0094357B" w:rsidRDefault="0094357B" w:rsidP="0094357B">
      <w:pPr>
        <w:pStyle w:val="a3"/>
        <w:spacing w:before="0" w:beforeAutospacing="0" w:after="0" w:afterAutospacing="0" w:line="360" w:lineRule="auto"/>
        <w:ind w:firstLine="420"/>
        <w:jc w:val="both"/>
        <w:divId w:val="1232279017"/>
        <w:rPr>
          <w:color w:val="000000"/>
          <w:sz w:val="21"/>
          <w:szCs w:val="21"/>
        </w:rPr>
      </w:pPr>
      <w:r w:rsidRPr="0094357B">
        <w:rPr>
          <w:rFonts w:cs="Times New Roman" w:hint="eastAsia"/>
          <w:color w:val="000000"/>
          <w:sz w:val="21"/>
          <w:szCs w:val="21"/>
        </w:rPr>
        <w:t>C</w:t>
      </w:r>
      <w:r w:rsidRPr="0094357B">
        <w:rPr>
          <w:rFonts w:cs="Times New Roman"/>
          <w:color w:val="000000"/>
          <w:sz w:val="21"/>
          <w:szCs w:val="21"/>
        </w:rPr>
        <w:t>.</w:t>
      </w:r>
      <w:r w:rsidR="00A2119D" w:rsidRPr="0094357B">
        <w:rPr>
          <w:rFonts w:hint="eastAsia"/>
          <w:color w:val="000000"/>
          <w:sz w:val="21"/>
          <w:szCs w:val="21"/>
        </w:rPr>
        <w:t>属于上述A.或B.的财务担保合同，以及不属于上述A.并以低于市场利率贷款的贷款承诺</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企业在初始确认后按照金融工具的减值规定所确定的损失准备金额以及初始确认金额扣除按照《企业会计准则第</w:t>
      </w:r>
      <w:r w:rsidRPr="0094357B">
        <w:rPr>
          <w:rFonts w:cs="Times New Roman"/>
          <w:color w:val="000000"/>
          <w:sz w:val="21"/>
          <w:szCs w:val="21"/>
        </w:rPr>
        <w:t>14</w:t>
      </w:r>
      <w:r w:rsidRPr="0094357B">
        <w:rPr>
          <w:rFonts w:cs="Times New Roman" w:hint="eastAsia"/>
          <w:color w:val="000000"/>
          <w:sz w:val="21"/>
          <w:szCs w:val="21"/>
        </w:rPr>
        <w:t>号</w:t>
      </w:r>
      <w:r w:rsidRPr="0094357B">
        <w:rPr>
          <w:rFonts w:cs="Times New Roman"/>
          <w:color w:val="000000"/>
          <w:sz w:val="21"/>
          <w:szCs w:val="21"/>
        </w:rPr>
        <w:t>——</w:t>
      </w:r>
      <w:r w:rsidRPr="0094357B">
        <w:rPr>
          <w:rFonts w:cs="Times New Roman" w:hint="eastAsia"/>
          <w:color w:val="000000"/>
          <w:sz w:val="21"/>
          <w:szCs w:val="21"/>
        </w:rPr>
        <w:t>收入》相关规定所确定的累计摊销额后的余额孰高进行计量。</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D.</w:t>
      </w:r>
      <w:r w:rsidRPr="0094357B">
        <w:rPr>
          <w:rFonts w:cs="Times New Roman" w:hint="eastAsia"/>
          <w:color w:val="000000"/>
          <w:sz w:val="21"/>
          <w:szCs w:val="21"/>
        </w:rPr>
        <w:t>以摊</w:t>
      </w:r>
      <w:proofErr w:type="gramStart"/>
      <w:r w:rsidRPr="0094357B">
        <w:rPr>
          <w:rFonts w:cs="Times New Roman" w:hint="eastAsia"/>
          <w:color w:val="000000"/>
          <w:sz w:val="21"/>
          <w:szCs w:val="21"/>
        </w:rPr>
        <w:t>余成本</w:t>
      </w:r>
      <w:proofErr w:type="gramEnd"/>
      <w:r w:rsidRPr="0094357B">
        <w:rPr>
          <w:rFonts w:cs="Times New Roman" w:hint="eastAsia"/>
          <w:color w:val="000000"/>
          <w:sz w:val="21"/>
          <w:szCs w:val="21"/>
        </w:rPr>
        <w:t>计量的金融负债</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采用实际利率法以摊</w:t>
      </w:r>
      <w:proofErr w:type="gramStart"/>
      <w:r w:rsidRPr="0094357B">
        <w:rPr>
          <w:rFonts w:cs="Times New Roman" w:hint="eastAsia"/>
          <w:color w:val="000000"/>
          <w:sz w:val="21"/>
          <w:szCs w:val="21"/>
        </w:rPr>
        <w:t>余成本</w:t>
      </w:r>
      <w:proofErr w:type="gramEnd"/>
      <w:r w:rsidRPr="0094357B">
        <w:rPr>
          <w:rFonts w:cs="Times New Roman" w:hint="eastAsia"/>
          <w:color w:val="000000"/>
          <w:sz w:val="21"/>
          <w:szCs w:val="21"/>
        </w:rPr>
        <w:t>进行后续计量。以摊</w:t>
      </w:r>
      <w:proofErr w:type="gramStart"/>
      <w:r w:rsidRPr="0094357B">
        <w:rPr>
          <w:rFonts w:cs="Times New Roman" w:hint="eastAsia"/>
          <w:color w:val="000000"/>
          <w:sz w:val="21"/>
          <w:szCs w:val="21"/>
        </w:rPr>
        <w:t>余成本</w:t>
      </w:r>
      <w:proofErr w:type="gramEnd"/>
      <w:r w:rsidRPr="0094357B">
        <w:rPr>
          <w:rFonts w:cs="Times New Roman" w:hint="eastAsia"/>
          <w:color w:val="000000"/>
          <w:sz w:val="21"/>
          <w:szCs w:val="21"/>
        </w:rPr>
        <w:t>计量且不属于任何套</w:t>
      </w:r>
      <w:proofErr w:type="gramStart"/>
      <w:r w:rsidRPr="0094357B">
        <w:rPr>
          <w:rFonts w:cs="Times New Roman" w:hint="eastAsia"/>
          <w:color w:val="000000"/>
          <w:sz w:val="21"/>
          <w:szCs w:val="21"/>
        </w:rPr>
        <w:t>期关系</w:t>
      </w:r>
      <w:proofErr w:type="gramEnd"/>
      <w:r w:rsidRPr="0094357B">
        <w:rPr>
          <w:rFonts w:cs="Times New Roman" w:hint="eastAsia"/>
          <w:color w:val="000000"/>
          <w:sz w:val="21"/>
          <w:szCs w:val="21"/>
        </w:rPr>
        <w:t>的一部分的金融负债所产生的利得或损失，应当在终止确认、重分类、按照实际利率法摊销或确认减值时，计入当期损益。</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w:t>
      </w:r>
      <w:r w:rsidRPr="0094357B">
        <w:rPr>
          <w:rFonts w:cs="Times New Roman"/>
          <w:color w:val="000000"/>
          <w:sz w:val="21"/>
          <w:szCs w:val="21"/>
        </w:rPr>
        <w:t>3</w:t>
      </w:r>
      <w:r w:rsidRPr="0094357B">
        <w:rPr>
          <w:rFonts w:cs="Times New Roman" w:hint="eastAsia"/>
          <w:color w:val="000000"/>
          <w:sz w:val="21"/>
          <w:szCs w:val="21"/>
        </w:rPr>
        <w:t>）金融资产转移的确认依据和计量方法</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公司转移了金融资产所有权上几乎所有的风险和报酬给转入方的，终止确认该金融资产，并将转移中产生或保留的权利和义务单独确认为资产或负债</w:t>
      </w:r>
      <w:r w:rsidRPr="0094357B">
        <w:rPr>
          <w:rFonts w:cs="Times New Roman"/>
          <w:color w:val="000000"/>
          <w:sz w:val="21"/>
          <w:szCs w:val="21"/>
        </w:rPr>
        <w:t>;</w:t>
      </w:r>
      <w:r w:rsidRPr="0094357B">
        <w:rPr>
          <w:rFonts w:cs="Times New Roman" w:hint="eastAsia"/>
          <w:color w:val="000000"/>
          <w:sz w:val="21"/>
          <w:szCs w:val="21"/>
        </w:rPr>
        <w:t>保留了金融资产所有权上几乎所有的风险和报酬的，继续确认所转移的金融资产。公司既没有转移也没有保留金融资产所有权上几乎所有的风险和报酬的，分别下列情况处理</w:t>
      </w:r>
      <w:r w:rsidRPr="0094357B">
        <w:rPr>
          <w:rFonts w:cs="Times New Roman"/>
          <w:color w:val="000000"/>
          <w:sz w:val="21"/>
          <w:szCs w:val="21"/>
        </w:rPr>
        <w:t>:</w:t>
      </w:r>
      <w:r w:rsidRPr="0094357B">
        <w:rPr>
          <w:rFonts w:cs="Times New Roman" w:hint="eastAsia"/>
          <w:color w:val="000000"/>
          <w:sz w:val="21"/>
          <w:szCs w:val="21"/>
        </w:rPr>
        <w:t>（</w:t>
      </w:r>
      <w:r w:rsidRPr="0094357B">
        <w:rPr>
          <w:rFonts w:cs="Times New Roman"/>
          <w:color w:val="000000"/>
          <w:sz w:val="21"/>
          <w:szCs w:val="21"/>
        </w:rPr>
        <w:t>1</w:t>
      </w:r>
      <w:r w:rsidRPr="0094357B">
        <w:rPr>
          <w:rFonts w:cs="Times New Roman" w:hint="eastAsia"/>
          <w:color w:val="000000"/>
          <w:sz w:val="21"/>
          <w:szCs w:val="21"/>
        </w:rPr>
        <w:t>）未保留对该金融资产控制的，终止确认该金融资产，并将转移中产生或保留的权利和义务单独确认为资产或负债</w:t>
      </w:r>
      <w:r w:rsidRPr="0094357B">
        <w:rPr>
          <w:rFonts w:cs="Times New Roman"/>
          <w:color w:val="000000"/>
          <w:sz w:val="21"/>
          <w:szCs w:val="21"/>
        </w:rPr>
        <w:t>;</w:t>
      </w:r>
      <w:r w:rsidRPr="0094357B">
        <w:rPr>
          <w:rFonts w:cs="Times New Roman" w:hint="eastAsia"/>
          <w:color w:val="000000"/>
          <w:sz w:val="21"/>
          <w:szCs w:val="21"/>
        </w:rPr>
        <w:t>（</w:t>
      </w:r>
      <w:r w:rsidRPr="0094357B">
        <w:rPr>
          <w:rFonts w:cs="Times New Roman"/>
          <w:color w:val="000000"/>
          <w:sz w:val="21"/>
          <w:szCs w:val="21"/>
        </w:rPr>
        <w:t>2</w:t>
      </w:r>
      <w:r w:rsidRPr="0094357B">
        <w:rPr>
          <w:rFonts w:cs="Times New Roman" w:hint="eastAsia"/>
          <w:color w:val="000000"/>
          <w:sz w:val="21"/>
          <w:szCs w:val="21"/>
        </w:rPr>
        <w:t>）保留了对该金融资产控制的，按照继续涉入所转移金融资产的程度确认有关金融资产，并相应确认有关负债。</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金融资产整体转移满足终止确认条件的，将下列两项金额的差额计入当期损益</w:t>
      </w:r>
      <w:r w:rsidRPr="0094357B">
        <w:rPr>
          <w:rFonts w:cs="Times New Roman"/>
          <w:color w:val="000000"/>
          <w:sz w:val="21"/>
          <w:szCs w:val="21"/>
        </w:rPr>
        <w:t>:</w:t>
      </w:r>
      <w:r w:rsidRPr="0094357B">
        <w:rPr>
          <w:rFonts w:cs="Times New Roman" w:hint="eastAsia"/>
          <w:color w:val="000000"/>
          <w:sz w:val="21"/>
          <w:szCs w:val="21"/>
        </w:rPr>
        <w:t>（</w:t>
      </w:r>
      <w:r w:rsidRPr="0094357B">
        <w:rPr>
          <w:rFonts w:cs="Times New Roman"/>
          <w:color w:val="000000"/>
          <w:sz w:val="21"/>
          <w:szCs w:val="21"/>
        </w:rPr>
        <w:t>1</w:t>
      </w:r>
      <w:r w:rsidRPr="0094357B">
        <w:rPr>
          <w:rFonts w:cs="Times New Roman" w:hint="eastAsia"/>
          <w:color w:val="000000"/>
          <w:sz w:val="21"/>
          <w:szCs w:val="21"/>
        </w:rPr>
        <w:t>）所转移金融资产在终止确认日的账面价值</w:t>
      </w:r>
      <w:r w:rsidRPr="0094357B">
        <w:rPr>
          <w:rFonts w:cs="Times New Roman"/>
          <w:color w:val="000000"/>
          <w:sz w:val="21"/>
          <w:szCs w:val="21"/>
        </w:rPr>
        <w:t>;</w:t>
      </w:r>
      <w:r w:rsidRPr="0094357B">
        <w:rPr>
          <w:rFonts w:cs="Times New Roman" w:hint="eastAsia"/>
          <w:color w:val="000000"/>
          <w:sz w:val="21"/>
          <w:szCs w:val="21"/>
        </w:rPr>
        <w:t>（</w:t>
      </w:r>
      <w:r w:rsidRPr="0094357B">
        <w:rPr>
          <w:rFonts w:cs="Times New Roman"/>
          <w:color w:val="000000"/>
          <w:sz w:val="21"/>
          <w:szCs w:val="21"/>
        </w:rPr>
        <w:t>2</w:t>
      </w:r>
      <w:r w:rsidRPr="0094357B">
        <w:rPr>
          <w:rFonts w:cs="Times New Roman" w:hint="eastAsia"/>
          <w:color w:val="000000"/>
          <w:sz w:val="21"/>
          <w:szCs w:val="21"/>
        </w:rPr>
        <w:t>）因转移金融资产而收到的对价，与</w:t>
      </w:r>
      <w:proofErr w:type="gramStart"/>
      <w:r w:rsidRPr="0094357B">
        <w:rPr>
          <w:rFonts w:cs="Times New Roman" w:hint="eastAsia"/>
          <w:color w:val="000000"/>
          <w:sz w:val="21"/>
          <w:szCs w:val="21"/>
        </w:rPr>
        <w:t>原直接</w:t>
      </w:r>
      <w:proofErr w:type="gramEnd"/>
      <w:r w:rsidRPr="0094357B">
        <w:rPr>
          <w:rFonts w:cs="Times New Roman" w:hint="eastAsia"/>
          <w:color w:val="000000"/>
          <w:sz w:val="21"/>
          <w:szCs w:val="21"/>
        </w:rPr>
        <w:t>计入其他综合收益的公允价值变动累计额中对应终止确认部分的金额</w:t>
      </w:r>
      <w:r w:rsidRPr="0094357B">
        <w:rPr>
          <w:rFonts w:cs="Times New Roman"/>
          <w:color w:val="000000"/>
          <w:sz w:val="21"/>
          <w:szCs w:val="21"/>
        </w:rPr>
        <w:t>(</w:t>
      </w:r>
      <w:r w:rsidRPr="0094357B">
        <w:rPr>
          <w:rFonts w:cs="Times New Roman" w:hint="eastAsia"/>
          <w:color w:val="000000"/>
          <w:sz w:val="21"/>
          <w:szCs w:val="21"/>
        </w:rPr>
        <w:t>涉及转移的金融资产为以公允价值计量且其变动计入其他综合收益的债务工具投资</w:t>
      </w:r>
      <w:r w:rsidRPr="0094357B">
        <w:rPr>
          <w:rFonts w:cs="Times New Roman"/>
          <w:color w:val="000000"/>
          <w:sz w:val="21"/>
          <w:szCs w:val="21"/>
        </w:rPr>
        <w:t>)</w:t>
      </w:r>
      <w:r w:rsidRPr="0094357B">
        <w:rPr>
          <w:rFonts w:cs="Times New Roman" w:hint="eastAsia"/>
          <w:color w:val="000000"/>
          <w:sz w:val="21"/>
          <w:szCs w:val="21"/>
        </w:rPr>
        <w:t>之</w:t>
      </w:r>
      <w:proofErr w:type="gramStart"/>
      <w:r w:rsidRPr="0094357B">
        <w:rPr>
          <w:rFonts w:cs="Times New Roman" w:hint="eastAsia"/>
          <w:color w:val="000000"/>
          <w:sz w:val="21"/>
          <w:szCs w:val="21"/>
        </w:rPr>
        <w:t>和</w:t>
      </w:r>
      <w:proofErr w:type="gramEnd"/>
      <w:r w:rsidRPr="0094357B">
        <w:rPr>
          <w:rFonts w:cs="Times New Roman" w:hint="eastAsia"/>
          <w:color w:val="000000"/>
          <w:sz w:val="21"/>
          <w:szCs w:val="21"/>
        </w:rPr>
        <w:t>。转移了金融资产的一部分，且该被转移部分整体满足终止确认条件的，将转移前金融资产整体的账面价值，在终止确认部分和继续确认部分之间，按照</w:t>
      </w:r>
      <w:proofErr w:type="gramStart"/>
      <w:r w:rsidRPr="0094357B">
        <w:rPr>
          <w:rFonts w:cs="Times New Roman" w:hint="eastAsia"/>
          <w:color w:val="000000"/>
          <w:sz w:val="21"/>
          <w:szCs w:val="21"/>
        </w:rPr>
        <w:t>转移日</w:t>
      </w:r>
      <w:proofErr w:type="gramEnd"/>
      <w:r w:rsidRPr="0094357B">
        <w:rPr>
          <w:rFonts w:cs="Times New Roman" w:hint="eastAsia"/>
          <w:color w:val="000000"/>
          <w:sz w:val="21"/>
          <w:szCs w:val="21"/>
        </w:rPr>
        <w:t>各自的相对公允价值进行分摊，并将下列两项金额的差额计入当期损益</w:t>
      </w:r>
      <w:r w:rsidRPr="0094357B">
        <w:rPr>
          <w:rFonts w:cs="Times New Roman"/>
          <w:color w:val="000000"/>
          <w:sz w:val="21"/>
          <w:szCs w:val="21"/>
        </w:rPr>
        <w:t>:</w:t>
      </w:r>
      <w:r w:rsidRPr="0094357B">
        <w:rPr>
          <w:rFonts w:cs="Times New Roman" w:hint="eastAsia"/>
          <w:color w:val="000000"/>
          <w:sz w:val="21"/>
          <w:szCs w:val="21"/>
        </w:rPr>
        <w:t>（</w:t>
      </w:r>
      <w:r w:rsidRPr="0094357B">
        <w:rPr>
          <w:rFonts w:cs="Times New Roman"/>
          <w:color w:val="000000"/>
          <w:sz w:val="21"/>
          <w:szCs w:val="21"/>
        </w:rPr>
        <w:t>1</w:t>
      </w:r>
      <w:r w:rsidRPr="0094357B">
        <w:rPr>
          <w:rFonts w:cs="Times New Roman" w:hint="eastAsia"/>
          <w:color w:val="000000"/>
          <w:sz w:val="21"/>
          <w:szCs w:val="21"/>
        </w:rPr>
        <w:t>）终止确认部分的账面价值</w:t>
      </w:r>
      <w:r w:rsidRPr="0094357B">
        <w:rPr>
          <w:rFonts w:cs="Times New Roman"/>
          <w:color w:val="000000"/>
          <w:sz w:val="21"/>
          <w:szCs w:val="21"/>
        </w:rPr>
        <w:t>;</w:t>
      </w:r>
      <w:r w:rsidRPr="0094357B">
        <w:rPr>
          <w:rFonts w:cs="Times New Roman" w:hint="eastAsia"/>
          <w:color w:val="000000"/>
          <w:sz w:val="21"/>
          <w:szCs w:val="21"/>
        </w:rPr>
        <w:t>（</w:t>
      </w:r>
      <w:r w:rsidRPr="0094357B">
        <w:rPr>
          <w:rFonts w:cs="Times New Roman"/>
          <w:color w:val="000000"/>
          <w:sz w:val="21"/>
          <w:szCs w:val="21"/>
        </w:rPr>
        <w:t>2</w:t>
      </w:r>
      <w:r w:rsidRPr="0094357B">
        <w:rPr>
          <w:rFonts w:cs="Times New Roman" w:hint="eastAsia"/>
          <w:color w:val="000000"/>
          <w:sz w:val="21"/>
          <w:szCs w:val="21"/>
        </w:rPr>
        <w:t>）终止确认部分</w:t>
      </w:r>
      <w:r w:rsidRPr="0094357B">
        <w:rPr>
          <w:rFonts w:cs="Times New Roman" w:hint="eastAsia"/>
          <w:color w:val="000000"/>
          <w:sz w:val="21"/>
          <w:szCs w:val="21"/>
        </w:rPr>
        <w:lastRenderedPageBreak/>
        <w:t>的对价，与</w:t>
      </w:r>
      <w:proofErr w:type="gramStart"/>
      <w:r w:rsidRPr="0094357B">
        <w:rPr>
          <w:rFonts w:cs="Times New Roman" w:hint="eastAsia"/>
          <w:color w:val="000000"/>
          <w:sz w:val="21"/>
          <w:szCs w:val="21"/>
        </w:rPr>
        <w:t>原直接</w:t>
      </w:r>
      <w:proofErr w:type="gramEnd"/>
      <w:r w:rsidRPr="0094357B">
        <w:rPr>
          <w:rFonts w:cs="Times New Roman" w:hint="eastAsia"/>
          <w:color w:val="000000"/>
          <w:sz w:val="21"/>
          <w:szCs w:val="21"/>
        </w:rPr>
        <w:t>计入其他综合收益的公允价值变动累计额中对应终止确认部分的金额（涉及转移的金融资产为以公允价值计量且其变动计入其他综合收益的债务工具投资）之</w:t>
      </w:r>
      <w:proofErr w:type="gramStart"/>
      <w:r w:rsidRPr="0094357B">
        <w:rPr>
          <w:rFonts w:cs="Times New Roman" w:hint="eastAsia"/>
          <w:color w:val="000000"/>
          <w:sz w:val="21"/>
          <w:szCs w:val="21"/>
        </w:rPr>
        <w:t>和</w:t>
      </w:r>
      <w:proofErr w:type="gramEnd"/>
      <w:r w:rsidRPr="0094357B">
        <w:rPr>
          <w:rFonts w:cs="Times New Roman" w:hint="eastAsia"/>
          <w:color w:val="000000"/>
          <w:sz w:val="21"/>
          <w:szCs w:val="21"/>
        </w:rPr>
        <w:t>。</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w:t>
      </w:r>
      <w:r w:rsidRPr="0094357B">
        <w:rPr>
          <w:rFonts w:cs="Times New Roman"/>
          <w:color w:val="000000"/>
          <w:sz w:val="21"/>
          <w:szCs w:val="21"/>
        </w:rPr>
        <w:t>4</w:t>
      </w:r>
      <w:r w:rsidRPr="0094357B">
        <w:rPr>
          <w:rFonts w:cs="Times New Roman" w:hint="eastAsia"/>
          <w:color w:val="000000"/>
          <w:sz w:val="21"/>
          <w:szCs w:val="21"/>
        </w:rPr>
        <w:t>）金融负债的终止确认条件</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金融负债（或其一部分）的现时义务已经解除的，应当终止确认该金融负债（或该部分金融负债）。如存在下列情况：</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hint="eastAsia"/>
          <w:color w:val="000000"/>
          <w:sz w:val="21"/>
          <w:szCs w:val="21"/>
        </w:rPr>
        <w:t>①</w:t>
      </w:r>
      <w:r w:rsidRPr="0094357B">
        <w:rPr>
          <w:rFonts w:cs="Times New Roman" w:hint="eastAsia"/>
          <w:color w:val="000000"/>
          <w:sz w:val="21"/>
          <w:szCs w:val="21"/>
        </w:rPr>
        <w:t>公司将用于偿付金融负债的资产转入某个机构或设立信托，偿付债务的义务仍存在的，不应当终止确认该金融负债。</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hint="eastAsia"/>
          <w:color w:val="000000"/>
          <w:sz w:val="21"/>
          <w:szCs w:val="21"/>
        </w:rPr>
        <w:t>②</w:t>
      </w:r>
      <w:r w:rsidRPr="0094357B">
        <w:rPr>
          <w:rFonts w:cs="Times New Roman" w:hint="eastAsia"/>
          <w:color w:val="000000"/>
          <w:sz w:val="21"/>
          <w:szCs w:val="21"/>
        </w:rPr>
        <w:t>公司（借入方）与借出方之间签订协议，以承担新金融负债方式替换</w:t>
      </w:r>
      <w:proofErr w:type="gramStart"/>
      <w:r w:rsidRPr="0094357B">
        <w:rPr>
          <w:rFonts w:cs="Times New Roman" w:hint="eastAsia"/>
          <w:color w:val="000000"/>
          <w:sz w:val="21"/>
          <w:szCs w:val="21"/>
        </w:rPr>
        <w:t>原金融</w:t>
      </w:r>
      <w:proofErr w:type="gramEnd"/>
      <w:r w:rsidRPr="0094357B">
        <w:rPr>
          <w:rFonts w:cs="Times New Roman" w:hint="eastAsia"/>
          <w:color w:val="000000"/>
          <w:sz w:val="21"/>
          <w:szCs w:val="21"/>
        </w:rPr>
        <w:t>负债（或其一部分），且合同条款实质上是不同的，公司应当终止确认</w:t>
      </w:r>
      <w:proofErr w:type="gramStart"/>
      <w:r w:rsidRPr="0094357B">
        <w:rPr>
          <w:rFonts w:cs="Times New Roman" w:hint="eastAsia"/>
          <w:color w:val="000000"/>
          <w:sz w:val="21"/>
          <w:szCs w:val="21"/>
        </w:rPr>
        <w:t>原金融</w:t>
      </w:r>
      <w:proofErr w:type="gramEnd"/>
      <w:r w:rsidRPr="0094357B">
        <w:rPr>
          <w:rFonts w:cs="Times New Roman" w:hint="eastAsia"/>
          <w:color w:val="000000"/>
          <w:sz w:val="21"/>
          <w:szCs w:val="21"/>
        </w:rPr>
        <w:t>负债（或其一部分），同时确认一项新金融负债。</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金融负债（或其一部分）终止确认的，公司将其账面价值与支付的对价（包括转出的非现金资产或承担的负债）之间的差额，计入当期损益。</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w:t>
      </w:r>
      <w:r w:rsidRPr="0094357B">
        <w:rPr>
          <w:rFonts w:cs="Times New Roman"/>
          <w:color w:val="000000"/>
          <w:sz w:val="21"/>
          <w:szCs w:val="21"/>
        </w:rPr>
        <w:t>5</w:t>
      </w:r>
      <w:r w:rsidRPr="0094357B">
        <w:rPr>
          <w:rFonts w:cs="Times New Roman" w:hint="eastAsia"/>
          <w:color w:val="000000"/>
          <w:sz w:val="21"/>
          <w:szCs w:val="21"/>
        </w:rPr>
        <w:t>）金融资产和金融负债的公允价值确定方法</w:t>
      </w:r>
    </w:p>
    <w:p w:rsidR="00A2119D" w:rsidRPr="004E566F" w:rsidRDefault="00A2119D" w:rsidP="0094357B">
      <w:pPr>
        <w:pStyle w:val="a3"/>
        <w:spacing w:before="0" w:beforeAutospacing="0" w:after="0" w:afterAutospacing="0" w:line="360" w:lineRule="auto"/>
        <w:ind w:firstLine="420"/>
        <w:jc w:val="both"/>
        <w:divId w:val="1232279017"/>
        <w:rPr>
          <w:rFonts w:cs="Times New Roman"/>
          <w:color w:val="000000"/>
          <w:sz w:val="21"/>
          <w:szCs w:val="21"/>
        </w:rPr>
      </w:pPr>
      <w:r w:rsidRPr="0094357B">
        <w:rPr>
          <w:rFonts w:cs="Times New Roman" w:hint="eastAsia"/>
          <w:color w:val="000000"/>
          <w:sz w:val="21"/>
          <w:szCs w:val="21"/>
        </w:rPr>
        <w:t>金融资产和金融负债的公允价值确认方法详见</w:t>
      </w:r>
      <w:r w:rsidRPr="004E566F">
        <w:rPr>
          <w:rFonts w:cs="Times New Roman" w:hint="eastAsia"/>
          <w:color w:val="000000"/>
          <w:sz w:val="21"/>
          <w:szCs w:val="21"/>
        </w:rPr>
        <w:t>附注</w:t>
      </w:r>
      <w:r w:rsidR="004E566F" w:rsidRPr="004E566F">
        <w:rPr>
          <w:rFonts w:cs="Times New Roman" w:hint="eastAsia"/>
          <w:color w:val="000000"/>
          <w:sz w:val="21"/>
          <w:szCs w:val="21"/>
        </w:rPr>
        <w:t>五</w:t>
      </w:r>
      <w:r w:rsidRPr="004E566F">
        <w:rPr>
          <w:rFonts w:cs="Times New Roman" w:hint="eastAsia"/>
          <w:color w:val="000000"/>
          <w:sz w:val="21"/>
          <w:szCs w:val="21"/>
        </w:rPr>
        <w:t>、</w:t>
      </w:r>
      <w:r w:rsidR="004E566F" w:rsidRPr="004E566F">
        <w:rPr>
          <w:rFonts w:cs="Times New Roman"/>
          <w:color w:val="000000"/>
          <w:sz w:val="21"/>
          <w:szCs w:val="21"/>
        </w:rPr>
        <w:t>11</w:t>
      </w:r>
      <w:r w:rsidRPr="004E566F">
        <w:rPr>
          <w:rFonts w:cs="Times New Roman" w:hint="eastAsia"/>
          <w:color w:val="000000"/>
          <w:sz w:val="21"/>
          <w:szCs w:val="21"/>
        </w:rPr>
        <w:t>。</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w:t>
      </w:r>
      <w:r w:rsidRPr="0094357B">
        <w:rPr>
          <w:rFonts w:cs="Times New Roman"/>
          <w:color w:val="000000"/>
          <w:sz w:val="21"/>
          <w:szCs w:val="21"/>
        </w:rPr>
        <w:t>6</w:t>
      </w:r>
      <w:r w:rsidRPr="0094357B">
        <w:rPr>
          <w:rFonts w:cs="Times New Roman" w:hint="eastAsia"/>
          <w:color w:val="000000"/>
          <w:sz w:val="21"/>
          <w:szCs w:val="21"/>
        </w:rPr>
        <w:t>）衍生金融工具</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衍生金融工具初始以衍生交易合同签订当日的公允价值计量，并以其公允价值进行后续计量。公允价值为正数的衍生金融工具确认为一项资产，公允价值为负数的衍生金融工具确认为一项负债。</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除与套期会计有关外，衍生工具公允价值变动而产生的利得或损失，直接计入当期损益。</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负债。</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w:t>
      </w:r>
      <w:r w:rsidRPr="0094357B">
        <w:rPr>
          <w:rFonts w:cs="Times New Roman"/>
          <w:color w:val="000000"/>
          <w:sz w:val="21"/>
          <w:szCs w:val="21"/>
        </w:rPr>
        <w:t>7</w:t>
      </w:r>
      <w:r w:rsidRPr="0094357B">
        <w:rPr>
          <w:rFonts w:cs="Times New Roman" w:hint="eastAsia"/>
          <w:color w:val="000000"/>
          <w:sz w:val="21"/>
          <w:szCs w:val="21"/>
        </w:rPr>
        <w:t>）金融资产和金融负债的</w:t>
      </w:r>
      <w:proofErr w:type="gramStart"/>
      <w:r w:rsidRPr="0094357B">
        <w:rPr>
          <w:rFonts w:cs="Times New Roman" w:hint="eastAsia"/>
          <w:color w:val="000000"/>
          <w:sz w:val="21"/>
          <w:szCs w:val="21"/>
        </w:rPr>
        <w:t>抵销</w:t>
      </w:r>
      <w:proofErr w:type="gramEnd"/>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金融资产和金融负债在资产负债表内分别列示，没有相互</w:t>
      </w:r>
      <w:proofErr w:type="gramStart"/>
      <w:r w:rsidRPr="0094357B">
        <w:rPr>
          <w:rFonts w:cs="Times New Roman" w:hint="eastAsia"/>
          <w:color w:val="000000"/>
          <w:sz w:val="21"/>
          <w:szCs w:val="21"/>
        </w:rPr>
        <w:t>抵销</w:t>
      </w:r>
      <w:proofErr w:type="gramEnd"/>
      <w:r w:rsidRPr="0094357B">
        <w:rPr>
          <w:rFonts w:cs="Times New Roman" w:hint="eastAsia"/>
          <w:color w:val="000000"/>
          <w:sz w:val="21"/>
          <w:szCs w:val="21"/>
        </w:rPr>
        <w:t>。但是，同时满足下列条件的，以相互</w:t>
      </w:r>
      <w:proofErr w:type="gramStart"/>
      <w:r w:rsidRPr="0094357B">
        <w:rPr>
          <w:rFonts w:cs="Times New Roman" w:hint="eastAsia"/>
          <w:color w:val="000000"/>
          <w:sz w:val="21"/>
          <w:szCs w:val="21"/>
        </w:rPr>
        <w:t>抵销</w:t>
      </w:r>
      <w:proofErr w:type="gramEnd"/>
      <w:r w:rsidRPr="0094357B">
        <w:rPr>
          <w:rFonts w:cs="Times New Roman" w:hint="eastAsia"/>
          <w:color w:val="000000"/>
          <w:sz w:val="21"/>
          <w:szCs w:val="21"/>
        </w:rPr>
        <w:t>后的净额在资产负债表内列示：</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hint="eastAsia"/>
          <w:color w:val="000000"/>
          <w:sz w:val="21"/>
          <w:szCs w:val="21"/>
        </w:rPr>
        <w:t>①</w:t>
      </w:r>
      <w:r w:rsidRPr="0094357B">
        <w:rPr>
          <w:rFonts w:cs="Times New Roman" w:hint="eastAsia"/>
          <w:color w:val="000000"/>
          <w:sz w:val="21"/>
          <w:szCs w:val="21"/>
        </w:rPr>
        <w:t>公司具有</w:t>
      </w:r>
      <w:proofErr w:type="gramStart"/>
      <w:r w:rsidRPr="0094357B">
        <w:rPr>
          <w:rFonts w:cs="Times New Roman" w:hint="eastAsia"/>
          <w:color w:val="000000"/>
          <w:sz w:val="21"/>
          <w:szCs w:val="21"/>
        </w:rPr>
        <w:t>抵销</w:t>
      </w:r>
      <w:proofErr w:type="gramEnd"/>
      <w:r w:rsidRPr="0094357B">
        <w:rPr>
          <w:rFonts w:cs="Times New Roman" w:hint="eastAsia"/>
          <w:color w:val="000000"/>
          <w:sz w:val="21"/>
          <w:szCs w:val="21"/>
        </w:rPr>
        <w:t>已确认金融资产和金融负债的法定权利，且该种法定权利现在是可执行的；</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hint="eastAsia"/>
          <w:color w:val="000000"/>
          <w:sz w:val="21"/>
          <w:szCs w:val="21"/>
        </w:rPr>
        <w:t>②</w:t>
      </w:r>
      <w:r w:rsidRPr="0094357B">
        <w:rPr>
          <w:rFonts w:cs="Times New Roman" w:hint="eastAsia"/>
          <w:color w:val="000000"/>
          <w:sz w:val="21"/>
          <w:szCs w:val="21"/>
        </w:rPr>
        <w:t>公司计划以净额结算，或同时变现该金融资产和清偿该金融负债。</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w:t>
      </w:r>
      <w:r w:rsidRPr="0094357B">
        <w:rPr>
          <w:rFonts w:cs="Times New Roman"/>
          <w:color w:val="000000"/>
          <w:sz w:val="21"/>
          <w:szCs w:val="21"/>
        </w:rPr>
        <w:t>8</w:t>
      </w:r>
      <w:r w:rsidRPr="0094357B">
        <w:rPr>
          <w:rFonts w:cs="Times New Roman" w:hint="eastAsia"/>
          <w:color w:val="000000"/>
          <w:sz w:val="21"/>
          <w:szCs w:val="21"/>
        </w:rPr>
        <w:t>）金融资产减值</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hint="eastAsia"/>
          <w:color w:val="000000"/>
          <w:sz w:val="21"/>
          <w:szCs w:val="21"/>
        </w:rPr>
        <w:lastRenderedPageBreak/>
        <w:t>①</w:t>
      </w:r>
      <w:r w:rsidRPr="0094357B">
        <w:rPr>
          <w:rFonts w:cs="Times New Roman" w:hint="eastAsia"/>
          <w:color w:val="000000"/>
          <w:sz w:val="21"/>
          <w:szCs w:val="21"/>
        </w:rPr>
        <w:t>减值准备的确认方法</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公司对以摊</w:t>
      </w:r>
      <w:proofErr w:type="gramStart"/>
      <w:r w:rsidRPr="0094357B">
        <w:rPr>
          <w:rFonts w:cs="Times New Roman" w:hint="eastAsia"/>
          <w:color w:val="000000"/>
          <w:sz w:val="21"/>
          <w:szCs w:val="21"/>
        </w:rPr>
        <w:t>余成本</w:t>
      </w:r>
      <w:proofErr w:type="gramEnd"/>
      <w:r w:rsidRPr="0094357B">
        <w:rPr>
          <w:rFonts w:cs="Times New Roman" w:hint="eastAsia"/>
          <w:color w:val="000000"/>
          <w:sz w:val="21"/>
          <w:szCs w:val="21"/>
        </w:rPr>
        <w:t>计量的金融资产、以公允价值计量且其变动计入其他综合收益的债务工具投资金融资产、租赁应收款、合同资产、贷款承诺以及财务担保合同以预期信用损失为基础确认损失准备。</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预期信用损失，是指以发生违约的风险为权重的金融工具信用损失的加权平均值。信用损失，是指本公司按照</w:t>
      </w:r>
      <w:proofErr w:type="gramStart"/>
      <w:r w:rsidRPr="0094357B">
        <w:rPr>
          <w:rFonts w:cs="Times New Roman" w:hint="eastAsia"/>
          <w:color w:val="000000"/>
          <w:sz w:val="21"/>
          <w:szCs w:val="21"/>
        </w:rPr>
        <w:t>原实际</w:t>
      </w:r>
      <w:proofErr w:type="gramEnd"/>
      <w:r w:rsidRPr="0094357B">
        <w:rPr>
          <w:rFonts w:cs="Times New Roman" w:hint="eastAsia"/>
          <w:color w:val="000000"/>
          <w:sz w:val="21"/>
          <w:szCs w:val="21"/>
        </w:rPr>
        <w:t>利率折现的、根据合同应收的所有合同现金流量与预期收取的所有现金流量之间的差额，即全部现金短缺的现值。</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除</w:t>
      </w:r>
      <w:proofErr w:type="gramStart"/>
      <w:r w:rsidRPr="0094357B">
        <w:rPr>
          <w:rFonts w:cs="Times New Roman" w:hint="eastAsia"/>
          <w:color w:val="000000"/>
          <w:sz w:val="21"/>
          <w:szCs w:val="21"/>
        </w:rPr>
        <w:t>购买或源生</w:t>
      </w:r>
      <w:proofErr w:type="gramEnd"/>
      <w:r w:rsidRPr="0094357B">
        <w:rPr>
          <w:rFonts w:cs="Times New Roman" w:hint="eastAsia"/>
          <w:color w:val="000000"/>
          <w:sz w:val="21"/>
          <w:szCs w:val="21"/>
        </w:rPr>
        <w:t>的已发生信用减值的金融资产外，公司在每个资产负债表日评估相关金融资产的信用风险自初始确认后是否已显著增加。如果信用风险自初始确认后并未显著增加，处于第一阶段，本公司按照相当于该金融资产未来</w:t>
      </w:r>
      <w:r w:rsidRPr="0094357B">
        <w:rPr>
          <w:rFonts w:cs="Times New Roman"/>
          <w:color w:val="000000"/>
          <w:sz w:val="21"/>
          <w:szCs w:val="21"/>
        </w:rPr>
        <w:t>12</w:t>
      </w:r>
      <w:r w:rsidRPr="0094357B">
        <w:rPr>
          <w:rFonts w:cs="Times New Roman" w:hint="eastAsia"/>
          <w:color w:val="000000"/>
          <w:sz w:val="21"/>
          <w:szCs w:val="21"/>
        </w:rPr>
        <w:t>个月内预期信用损失的金额计量损失准备；如果信用风险自初始确认后已显著增加但尚未发生信用减值的，处于第二阶段，本公司按照相当于该金融资产整个存续期内预期信用损失的金额计量损失准备；如果金融资产自初始确认后已经发生信用减值的，处于第三阶段，本公司按照相当于该金融资产整个存续期内预期信用损失的金额计量损失准备。本公司在评估预期信用损失时，考虑在资产负债表日无须付出不必要的额外成本或努力即可获得的有关过去事项、当前状况以及未来经济状况预测的合理且有依据的信息，包括前瞻性信息。</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对于应收票据、应收账款，无论是否存在重大融资成分，本公司均按照整个存续期的预期信用损失计量损失准备。</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未来</w:t>
      </w:r>
      <w:r w:rsidRPr="0094357B">
        <w:rPr>
          <w:rFonts w:cs="Times New Roman"/>
          <w:color w:val="000000"/>
          <w:sz w:val="21"/>
          <w:szCs w:val="21"/>
        </w:rPr>
        <w:t>12</w:t>
      </w:r>
      <w:r w:rsidRPr="0094357B">
        <w:rPr>
          <w:rFonts w:cs="Times New Roman" w:hint="eastAsia"/>
          <w:color w:val="000000"/>
          <w:sz w:val="21"/>
          <w:szCs w:val="21"/>
        </w:rPr>
        <w:t>个月内预期信用损失，是指因资产负债表日后</w:t>
      </w:r>
      <w:r w:rsidRPr="0094357B">
        <w:rPr>
          <w:rFonts w:cs="Times New Roman"/>
          <w:color w:val="000000"/>
          <w:sz w:val="21"/>
          <w:szCs w:val="21"/>
        </w:rPr>
        <w:t>12</w:t>
      </w:r>
      <w:r w:rsidRPr="0094357B">
        <w:rPr>
          <w:rFonts w:cs="Times New Roman" w:hint="eastAsia"/>
          <w:color w:val="000000"/>
          <w:sz w:val="21"/>
          <w:szCs w:val="21"/>
        </w:rPr>
        <w:t>个月内（若金融资产的预计存续期少于</w:t>
      </w:r>
      <w:r w:rsidRPr="0094357B">
        <w:rPr>
          <w:rFonts w:cs="Times New Roman"/>
          <w:color w:val="000000"/>
          <w:sz w:val="21"/>
          <w:szCs w:val="21"/>
        </w:rPr>
        <w:t>12</w:t>
      </w:r>
      <w:r w:rsidRPr="0094357B">
        <w:rPr>
          <w:rFonts w:cs="Times New Roman" w:hint="eastAsia"/>
          <w:color w:val="000000"/>
          <w:sz w:val="21"/>
          <w:szCs w:val="21"/>
        </w:rPr>
        <w:t>个月，则为预计存续期）可能发生的金融资产违约事件而导致的预期信用损失，是整个存续期预期信用损失的一部分。</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对于在资产负债表</w:t>
      </w:r>
      <w:proofErr w:type="gramStart"/>
      <w:r w:rsidRPr="0094357B">
        <w:rPr>
          <w:rFonts w:cs="Times New Roman" w:hint="eastAsia"/>
          <w:color w:val="000000"/>
          <w:sz w:val="21"/>
          <w:szCs w:val="21"/>
        </w:rPr>
        <w:t>日具有</w:t>
      </w:r>
      <w:proofErr w:type="gramEnd"/>
      <w:r w:rsidRPr="0094357B">
        <w:rPr>
          <w:rFonts w:cs="Times New Roman" w:hint="eastAsia"/>
          <w:color w:val="000000"/>
          <w:sz w:val="21"/>
          <w:szCs w:val="21"/>
        </w:rPr>
        <w:t>较低信用风险的金融工具，本公司假设其信用风险自初始确认后并未显著增加，选择按照未来</w:t>
      </w:r>
      <w:r w:rsidRPr="0094357B">
        <w:rPr>
          <w:rFonts w:cs="Times New Roman"/>
          <w:color w:val="000000"/>
          <w:sz w:val="21"/>
          <w:szCs w:val="21"/>
        </w:rPr>
        <w:t>12</w:t>
      </w:r>
      <w:r w:rsidRPr="0094357B">
        <w:rPr>
          <w:rFonts w:cs="Times New Roman" w:hint="eastAsia"/>
          <w:color w:val="000000"/>
          <w:sz w:val="21"/>
          <w:szCs w:val="21"/>
        </w:rPr>
        <w:t>个月内的预期信用损失计量损失准备。</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本公司对于处于第一阶段和第二阶段、以及较低信用风险的金融资产，按照其未扣除减值准备的账面余额和实际利率计算利息收入。对于处于第三阶段的金融资产，按照其账面</w:t>
      </w:r>
      <w:proofErr w:type="gramStart"/>
      <w:r w:rsidRPr="0094357B">
        <w:rPr>
          <w:rFonts w:cs="Times New Roman" w:hint="eastAsia"/>
          <w:color w:val="000000"/>
          <w:sz w:val="21"/>
          <w:szCs w:val="21"/>
        </w:rPr>
        <w:t>余额减已计提</w:t>
      </w:r>
      <w:proofErr w:type="gramEnd"/>
      <w:r w:rsidRPr="0094357B">
        <w:rPr>
          <w:rFonts w:cs="Times New Roman" w:hint="eastAsia"/>
          <w:color w:val="000000"/>
          <w:sz w:val="21"/>
          <w:szCs w:val="21"/>
        </w:rPr>
        <w:t>减值准备后的摊</w:t>
      </w:r>
      <w:proofErr w:type="gramStart"/>
      <w:r w:rsidRPr="0094357B">
        <w:rPr>
          <w:rFonts w:cs="Times New Roman" w:hint="eastAsia"/>
          <w:color w:val="000000"/>
          <w:sz w:val="21"/>
          <w:szCs w:val="21"/>
        </w:rPr>
        <w:t>余成本</w:t>
      </w:r>
      <w:proofErr w:type="gramEnd"/>
      <w:r w:rsidRPr="0094357B">
        <w:rPr>
          <w:rFonts w:cs="Times New Roman" w:hint="eastAsia"/>
          <w:color w:val="000000"/>
          <w:sz w:val="21"/>
          <w:szCs w:val="21"/>
        </w:rPr>
        <w:t>和实际利率计算利息收入。</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对于应收票据、应收账款和其他应收款，若某一客户信用风险特征与组合中其他客户显著不同，或该客户信用风险特征发生显著变化，本公司对该应收款项单项计提坏账准备。除单项计提坏账准备的应收款项之外，本公司依据信用风险特征对应收款项划分组合，在组合基础上计算坏账准备。</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A.</w:t>
      </w:r>
      <w:r w:rsidRPr="0094357B">
        <w:rPr>
          <w:rFonts w:cs="Times New Roman" w:hint="eastAsia"/>
          <w:color w:val="000000"/>
          <w:sz w:val="21"/>
          <w:szCs w:val="21"/>
        </w:rPr>
        <w:t>应收票据、应收账款</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对于应收票据、应收账款具体划分组合情况如下：</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lastRenderedPageBreak/>
        <w:t>应收票据组合</w:t>
      </w:r>
    </w:p>
    <w:p w:rsidR="00A2119D" w:rsidRPr="0094357B" w:rsidRDefault="00A2119D" w:rsidP="0094357B">
      <w:pPr>
        <w:widowControl/>
        <w:numPr>
          <w:ilvl w:val="0"/>
          <w:numId w:val="5"/>
        </w:numPr>
        <w:spacing w:line="360" w:lineRule="auto"/>
        <w:divId w:val="1232279017"/>
        <w:rPr>
          <w:rFonts w:ascii="宋体" w:eastAsia="宋体" w:hAnsi="宋体" w:cs="宋体"/>
          <w:szCs w:val="21"/>
        </w:rPr>
      </w:pPr>
      <w:r w:rsidRPr="0094357B">
        <w:rPr>
          <w:rFonts w:ascii="宋体" w:eastAsia="宋体" w:hAnsi="宋体" w:hint="eastAsia"/>
          <w:color w:val="000000"/>
          <w:szCs w:val="21"/>
        </w:rPr>
        <w:t>应收票据组合1：银行承兑汇票</w:t>
      </w:r>
    </w:p>
    <w:p w:rsidR="00A2119D" w:rsidRPr="0094357B" w:rsidRDefault="00A2119D" w:rsidP="0094357B">
      <w:pPr>
        <w:widowControl/>
        <w:numPr>
          <w:ilvl w:val="0"/>
          <w:numId w:val="5"/>
        </w:numPr>
        <w:spacing w:line="360" w:lineRule="auto"/>
        <w:divId w:val="1232279017"/>
        <w:rPr>
          <w:rFonts w:ascii="宋体" w:eastAsia="宋体" w:hAnsi="宋体"/>
          <w:szCs w:val="21"/>
        </w:rPr>
      </w:pPr>
      <w:r w:rsidRPr="0094357B">
        <w:rPr>
          <w:rFonts w:ascii="宋体" w:eastAsia="宋体" w:hAnsi="宋体" w:hint="eastAsia"/>
          <w:color w:val="000000"/>
          <w:szCs w:val="21"/>
        </w:rPr>
        <w:t>应收票据组合2：商业承兑汇票</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应收账款组合</w:t>
      </w:r>
    </w:p>
    <w:p w:rsidR="00A2119D" w:rsidRPr="0094357B" w:rsidRDefault="00A2119D" w:rsidP="0094357B">
      <w:pPr>
        <w:widowControl/>
        <w:numPr>
          <w:ilvl w:val="0"/>
          <w:numId w:val="6"/>
        </w:numPr>
        <w:spacing w:line="360" w:lineRule="auto"/>
        <w:divId w:val="1232279017"/>
        <w:rPr>
          <w:rFonts w:ascii="宋体" w:eastAsia="宋体" w:hAnsi="宋体" w:cs="宋体"/>
          <w:szCs w:val="21"/>
        </w:rPr>
      </w:pPr>
      <w:r w:rsidRPr="0094357B">
        <w:rPr>
          <w:rFonts w:ascii="宋体" w:eastAsia="宋体" w:hAnsi="宋体" w:hint="eastAsia"/>
          <w:color w:val="000000"/>
          <w:szCs w:val="21"/>
        </w:rPr>
        <w:t>应收账款组合1：应收军工总装客户</w:t>
      </w:r>
    </w:p>
    <w:p w:rsidR="00A2119D" w:rsidRPr="0094357B" w:rsidRDefault="00A2119D" w:rsidP="0094357B">
      <w:pPr>
        <w:widowControl/>
        <w:numPr>
          <w:ilvl w:val="0"/>
          <w:numId w:val="6"/>
        </w:numPr>
        <w:spacing w:line="360" w:lineRule="auto"/>
        <w:divId w:val="1232279017"/>
        <w:rPr>
          <w:rFonts w:ascii="宋体" w:eastAsia="宋体" w:hAnsi="宋体"/>
          <w:szCs w:val="21"/>
        </w:rPr>
      </w:pPr>
      <w:r w:rsidRPr="0094357B">
        <w:rPr>
          <w:rFonts w:ascii="宋体" w:eastAsia="宋体" w:hAnsi="宋体" w:hint="eastAsia"/>
          <w:color w:val="000000"/>
          <w:szCs w:val="21"/>
        </w:rPr>
        <w:t>应收账款组合2：应收军工总装企业外其他客户</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对于划分为组合的应收票据，本公司参考历史信用损失经验，结合当前状况以及对未来经济状况的预测，通过违约风险敞口和整个存续期预期信用损失率，计算预期信用损失。</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对于划分为组合的应收账款，本公司参考历史信用损失经验，结合当前状况以及对未来经济状况的预测，编制应收账款账龄与整个存续期预期信用损失率对照表，计算预期信用损失。</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B.</w:t>
      </w:r>
      <w:r w:rsidRPr="0094357B">
        <w:rPr>
          <w:rFonts w:cs="Times New Roman" w:hint="eastAsia"/>
          <w:color w:val="000000"/>
          <w:sz w:val="21"/>
          <w:szCs w:val="21"/>
        </w:rPr>
        <w:t>其他应收款</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本公司依据信用风险特征将其他应收款划分为若干组合，在组合基础上计算预期信用损失。具体划分组合情况如下：</w:t>
      </w:r>
    </w:p>
    <w:p w:rsidR="00A2119D" w:rsidRPr="0094357B" w:rsidRDefault="00A2119D" w:rsidP="0094357B">
      <w:pPr>
        <w:widowControl/>
        <w:numPr>
          <w:ilvl w:val="0"/>
          <w:numId w:val="7"/>
        </w:numPr>
        <w:spacing w:line="360" w:lineRule="auto"/>
        <w:divId w:val="1232279017"/>
        <w:rPr>
          <w:rFonts w:ascii="宋体" w:eastAsia="宋体" w:hAnsi="宋体" w:cs="宋体"/>
          <w:szCs w:val="21"/>
        </w:rPr>
      </w:pPr>
      <w:r w:rsidRPr="0094357B">
        <w:rPr>
          <w:rFonts w:ascii="宋体" w:eastAsia="宋体" w:hAnsi="宋体" w:hint="eastAsia"/>
          <w:color w:val="000000"/>
          <w:szCs w:val="21"/>
        </w:rPr>
        <w:t>其他应收款组合1：个人借支备用金</w:t>
      </w:r>
    </w:p>
    <w:p w:rsidR="00A2119D" w:rsidRPr="0094357B" w:rsidRDefault="00A2119D" w:rsidP="0094357B">
      <w:pPr>
        <w:widowControl/>
        <w:numPr>
          <w:ilvl w:val="0"/>
          <w:numId w:val="7"/>
        </w:numPr>
        <w:spacing w:line="360" w:lineRule="auto"/>
        <w:divId w:val="1232279017"/>
        <w:rPr>
          <w:rFonts w:ascii="宋体" w:eastAsia="宋体" w:hAnsi="宋体"/>
          <w:szCs w:val="21"/>
        </w:rPr>
      </w:pPr>
      <w:r w:rsidRPr="0094357B">
        <w:rPr>
          <w:rFonts w:ascii="宋体" w:eastAsia="宋体" w:hAnsi="宋体" w:hint="eastAsia"/>
          <w:color w:val="000000"/>
          <w:szCs w:val="21"/>
        </w:rPr>
        <w:t>其他应收款组合2：应收押金和保证金</w:t>
      </w:r>
    </w:p>
    <w:p w:rsidR="00A2119D" w:rsidRPr="0094357B" w:rsidRDefault="00A2119D" w:rsidP="0094357B">
      <w:pPr>
        <w:widowControl/>
        <w:numPr>
          <w:ilvl w:val="0"/>
          <w:numId w:val="7"/>
        </w:numPr>
        <w:spacing w:line="360" w:lineRule="auto"/>
        <w:divId w:val="1232279017"/>
        <w:rPr>
          <w:rFonts w:ascii="宋体" w:eastAsia="宋体" w:hAnsi="宋体"/>
          <w:szCs w:val="21"/>
        </w:rPr>
      </w:pPr>
      <w:r w:rsidRPr="0094357B">
        <w:rPr>
          <w:rFonts w:ascii="宋体" w:eastAsia="宋体" w:hAnsi="宋体" w:hint="eastAsia"/>
          <w:color w:val="000000"/>
          <w:szCs w:val="21"/>
        </w:rPr>
        <w:t>其他应收款组合3：应收合并范围内关联方</w:t>
      </w:r>
    </w:p>
    <w:p w:rsidR="00A2119D" w:rsidRPr="0094357B" w:rsidRDefault="00A2119D" w:rsidP="0094357B">
      <w:pPr>
        <w:widowControl/>
        <w:numPr>
          <w:ilvl w:val="0"/>
          <w:numId w:val="7"/>
        </w:numPr>
        <w:spacing w:line="360" w:lineRule="auto"/>
        <w:divId w:val="1232279017"/>
        <w:rPr>
          <w:rFonts w:ascii="宋体" w:eastAsia="宋体" w:hAnsi="宋体"/>
          <w:szCs w:val="21"/>
        </w:rPr>
      </w:pPr>
      <w:r w:rsidRPr="0094357B">
        <w:rPr>
          <w:rFonts w:ascii="宋体" w:eastAsia="宋体" w:hAnsi="宋体" w:hint="eastAsia"/>
          <w:color w:val="000000"/>
          <w:szCs w:val="21"/>
        </w:rPr>
        <w:t>其他应收款组合4：应收其他往来款项</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对划分为组合的其他应收款，本公司通过违约风险敞口和未来</w:t>
      </w:r>
      <w:r w:rsidRPr="0094357B">
        <w:rPr>
          <w:rFonts w:cs="Times New Roman"/>
          <w:color w:val="000000"/>
          <w:sz w:val="21"/>
          <w:szCs w:val="21"/>
        </w:rPr>
        <w:t>12</w:t>
      </w:r>
      <w:r w:rsidRPr="0094357B">
        <w:rPr>
          <w:rFonts w:cs="Times New Roman" w:hint="eastAsia"/>
          <w:color w:val="000000"/>
          <w:sz w:val="21"/>
          <w:szCs w:val="21"/>
        </w:rPr>
        <w:t>个月内或整个存续期预期信用损失率，计算预期信用损失。</w:t>
      </w:r>
      <w:proofErr w:type="gramStart"/>
      <w:r w:rsidRPr="0094357B">
        <w:rPr>
          <w:rFonts w:cs="Times New Roman" w:hint="eastAsia"/>
          <w:color w:val="000000"/>
          <w:sz w:val="21"/>
          <w:szCs w:val="21"/>
        </w:rPr>
        <w:t>对于按账龄</w:t>
      </w:r>
      <w:proofErr w:type="gramEnd"/>
      <w:r w:rsidRPr="0094357B">
        <w:rPr>
          <w:rFonts w:cs="Times New Roman" w:hint="eastAsia"/>
          <w:color w:val="000000"/>
          <w:sz w:val="21"/>
          <w:szCs w:val="21"/>
        </w:rPr>
        <w:t>划分组合的其他应收款，账</w:t>
      </w:r>
      <w:proofErr w:type="gramStart"/>
      <w:r w:rsidRPr="0094357B">
        <w:rPr>
          <w:rFonts w:cs="Times New Roman" w:hint="eastAsia"/>
          <w:color w:val="000000"/>
          <w:sz w:val="21"/>
          <w:szCs w:val="21"/>
        </w:rPr>
        <w:t>龄自确认</w:t>
      </w:r>
      <w:proofErr w:type="gramEnd"/>
      <w:r w:rsidRPr="0094357B">
        <w:rPr>
          <w:rFonts w:cs="Times New Roman" w:hint="eastAsia"/>
          <w:color w:val="000000"/>
          <w:sz w:val="21"/>
          <w:szCs w:val="21"/>
        </w:rPr>
        <w:t>之日起计算。</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C.</w:t>
      </w:r>
      <w:r w:rsidRPr="0094357B">
        <w:rPr>
          <w:rFonts w:cs="Times New Roman" w:hint="eastAsia"/>
          <w:color w:val="000000"/>
          <w:sz w:val="21"/>
          <w:szCs w:val="21"/>
        </w:rPr>
        <w:t>长期应收款</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本公司的长期应收款包括应收融资租赁款。</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本公司依据信用风险特征将长期应收款划分为若干组合，在组合基础上计算预期信用损失，确定组合的依据如下：</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应收融资租赁款</w:t>
      </w:r>
    </w:p>
    <w:p w:rsidR="00A2119D" w:rsidRPr="0094357B" w:rsidRDefault="00A2119D" w:rsidP="0094357B">
      <w:pPr>
        <w:widowControl/>
        <w:numPr>
          <w:ilvl w:val="0"/>
          <w:numId w:val="8"/>
        </w:numPr>
        <w:spacing w:line="360" w:lineRule="auto"/>
        <w:divId w:val="1232279017"/>
        <w:rPr>
          <w:rFonts w:ascii="宋体" w:eastAsia="宋体" w:hAnsi="宋体" w:cs="宋体"/>
          <w:szCs w:val="21"/>
        </w:rPr>
      </w:pPr>
      <w:r w:rsidRPr="0094357B">
        <w:rPr>
          <w:rFonts w:ascii="宋体" w:eastAsia="宋体" w:hAnsi="宋体" w:hint="eastAsia"/>
          <w:color w:val="000000"/>
          <w:szCs w:val="21"/>
        </w:rPr>
        <w:t>长期应收款组合1：应收融资租赁款</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对于应收融资租赁款，本公司参考历史信用损失经验，结合当前状况以及对未来经济状况的预测，通过违约风险敞口和整个存续期预期信用损失率，计算预期信用损失。</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债权投资、其他债权投资</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lastRenderedPageBreak/>
        <w:t>对于债权投资和其他债权投资，本公司按照投资的性质，根据交易对手和风险敞口的各种类型，通过违约风险敞口和未来</w:t>
      </w:r>
      <w:r w:rsidRPr="0094357B">
        <w:rPr>
          <w:rFonts w:cs="Times New Roman"/>
          <w:color w:val="000000"/>
          <w:sz w:val="21"/>
          <w:szCs w:val="21"/>
        </w:rPr>
        <w:t>12</w:t>
      </w:r>
      <w:r w:rsidRPr="0094357B">
        <w:rPr>
          <w:rFonts w:cs="Times New Roman" w:hint="eastAsia"/>
          <w:color w:val="000000"/>
          <w:sz w:val="21"/>
          <w:szCs w:val="21"/>
        </w:rPr>
        <w:t>个月内或整个存续期预期信用损失率，计算预期信用损失。</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hint="eastAsia"/>
          <w:color w:val="000000"/>
          <w:sz w:val="21"/>
          <w:szCs w:val="21"/>
        </w:rPr>
        <w:t>②</w:t>
      </w:r>
      <w:r w:rsidRPr="0094357B">
        <w:rPr>
          <w:rFonts w:cs="Times New Roman" w:hint="eastAsia"/>
          <w:color w:val="000000"/>
          <w:sz w:val="21"/>
          <w:szCs w:val="21"/>
        </w:rPr>
        <w:t>信用风险显著增加的评估</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本公司通过比较金融工具在资产负债表日发生违约的风险与在初始确认日发生违约的风险，以确定金融工具预计存续期内发生违约风险的相对变化，以评估金融工具的信用风险自初始确认后是否已显著增加。</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在确定信用风险自初始确认后是否显著增加时，本公司考虑无须付出不必要的额外成本或努力即可获得的合理且有依据的信息，包括前瞻性信息。本公司考虑的信息包括：</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A.</w:t>
      </w:r>
      <w:r w:rsidRPr="0094357B">
        <w:rPr>
          <w:rFonts w:cs="Times New Roman" w:hint="eastAsia"/>
          <w:color w:val="000000"/>
          <w:sz w:val="21"/>
          <w:szCs w:val="21"/>
        </w:rPr>
        <w:t>债务人未能按合同到期日支付本金和利息的情况；</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B.</w:t>
      </w:r>
      <w:r w:rsidRPr="0094357B">
        <w:rPr>
          <w:rFonts w:cs="Times New Roman" w:hint="eastAsia"/>
          <w:color w:val="000000"/>
          <w:sz w:val="21"/>
          <w:szCs w:val="21"/>
        </w:rPr>
        <w:t>已发生的或预期的金融工具的外部或内部信用评级（如有）的严重恶化；</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C.</w:t>
      </w:r>
      <w:r w:rsidRPr="0094357B">
        <w:rPr>
          <w:rFonts w:cs="Times New Roman" w:hint="eastAsia"/>
          <w:color w:val="000000"/>
          <w:sz w:val="21"/>
          <w:szCs w:val="21"/>
        </w:rPr>
        <w:t>已发生的或预期的债务人经营成果的严重恶化；</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D.</w:t>
      </w:r>
      <w:r w:rsidRPr="0094357B">
        <w:rPr>
          <w:rFonts w:cs="Times New Roman" w:hint="eastAsia"/>
          <w:color w:val="000000"/>
          <w:sz w:val="21"/>
          <w:szCs w:val="21"/>
        </w:rPr>
        <w:t>现存的或预期的技术、市场、经济或法律环境变化，并将对债务人对本公司的还款能力产生重大不利影响。</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hint="eastAsia"/>
          <w:color w:val="000000"/>
          <w:sz w:val="21"/>
          <w:szCs w:val="21"/>
        </w:rPr>
        <w:t>③</w:t>
      </w:r>
      <w:r w:rsidRPr="0094357B">
        <w:rPr>
          <w:rFonts w:cs="Times New Roman" w:hint="eastAsia"/>
          <w:color w:val="000000"/>
          <w:sz w:val="21"/>
          <w:szCs w:val="21"/>
        </w:rPr>
        <w:t>已发生减值的金融资产</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本公司对金融资产预期未来现金流量具有不利影响的一项或多项事件发生时，该金融资产成为已发生信用减值的金融资产。金融资产已发生信用减值的证据包括下列可观察信息：</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A.</w:t>
      </w:r>
      <w:r w:rsidRPr="0094357B">
        <w:rPr>
          <w:rFonts w:cs="Times New Roman" w:hint="eastAsia"/>
          <w:color w:val="000000"/>
          <w:sz w:val="21"/>
          <w:szCs w:val="21"/>
        </w:rPr>
        <w:t>发行方或债务人发生重大财务困难；</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B.</w:t>
      </w:r>
      <w:r w:rsidRPr="0094357B">
        <w:rPr>
          <w:rFonts w:cs="Times New Roman" w:hint="eastAsia"/>
          <w:color w:val="000000"/>
          <w:sz w:val="21"/>
          <w:szCs w:val="21"/>
        </w:rPr>
        <w:t>债务人违反合同，如偿付利息或本金违约或逾期等；</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C.</w:t>
      </w:r>
      <w:r w:rsidRPr="0094357B">
        <w:rPr>
          <w:rFonts w:cs="Times New Roman" w:hint="eastAsia"/>
          <w:color w:val="000000"/>
          <w:sz w:val="21"/>
          <w:szCs w:val="21"/>
        </w:rPr>
        <w:t>债权人出于与债务人财务困难有关的经济或合同考虑，给予债务人在任何其他情况下都不会做出的让步；</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D.</w:t>
      </w:r>
      <w:r w:rsidRPr="0094357B">
        <w:rPr>
          <w:rFonts w:cs="Times New Roman" w:hint="eastAsia"/>
          <w:color w:val="000000"/>
          <w:sz w:val="21"/>
          <w:szCs w:val="21"/>
        </w:rPr>
        <w:t>债务人很可能破产或进行其他财务重组；</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E.</w:t>
      </w:r>
      <w:r w:rsidRPr="0094357B">
        <w:rPr>
          <w:rFonts w:cs="Times New Roman" w:hint="eastAsia"/>
          <w:color w:val="000000"/>
          <w:sz w:val="21"/>
          <w:szCs w:val="21"/>
        </w:rPr>
        <w:t>发行方或债务人财务困难导致该金融资产的活跃市场消失；</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color w:val="000000"/>
          <w:sz w:val="21"/>
          <w:szCs w:val="21"/>
        </w:rPr>
        <w:t>F.</w:t>
      </w:r>
      <w:r w:rsidRPr="0094357B">
        <w:rPr>
          <w:rFonts w:cs="Times New Roman" w:hint="eastAsia"/>
          <w:color w:val="000000"/>
          <w:sz w:val="21"/>
          <w:szCs w:val="21"/>
        </w:rPr>
        <w:t>以大幅折扣</w:t>
      </w:r>
      <w:proofErr w:type="gramStart"/>
      <w:r w:rsidRPr="0094357B">
        <w:rPr>
          <w:rFonts w:cs="Times New Roman" w:hint="eastAsia"/>
          <w:color w:val="000000"/>
          <w:sz w:val="21"/>
          <w:szCs w:val="21"/>
        </w:rPr>
        <w:t>购买或源生</w:t>
      </w:r>
      <w:proofErr w:type="gramEnd"/>
      <w:r w:rsidRPr="0094357B">
        <w:rPr>
          <w:rFonts w:cs="Times New Roman" w:hint="eastAsia"/>
          <w:color w:val="000000"/>
          <w:sz w:val="21"/>
          <w:szCs w:val="21"/>
        </w:rPr>
        <w:t>一项金融资产，该折扣反映了发生信用损失的事实。</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金融资产发生信用减值，有可能是多个事件的共同作用所致，未必是可单独识别的事件所致。</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hint="eastAsia"/>
          <w:color w:val="000000"/>
          <w:sz w:val="21"/>
          <w:szCs w:val="21"/>
        </w:rPr>
        <w:t>④</w:t>
      </w:r>
      <w:r w:rsidRPr="0094357B">
        <w:rPr>
          <w:rFonts w:cs="Times New Roman" w:hint="eastAsia"/>
          <w:color w:val="000000"/>
          <w:sz w:val="21"/>
          <w:szCs w:val="21"/>
        </w:rPr>
        <w:t>金融资产减值的会计处理方法</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lastRenderedPageBreak/>
        <w:t>公司在资产负债表日计算各类金融资产的预计信用损失，由此形成的损失准备的增加或转回金额，作为减值损失或利得计入当期损益。</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公司实际发生信用损失，认定相关金融资产无法收回，经批准予以核销的，直接</w:t>
      </w:r>
      <w:proofErr w:type="gramStart"/>
      <w:r w:rsidRPr="0094357B">
        <w:rPr>
          <w:rFonts w:cs="Times New Roman" w:hint="eastAsia"/>
          <w:color w:val="000000"/>
          <w:sz w:val="21"/>
          <w:szCs w:val="21"/>
        </w:rPr>
        <w:t>减记该</w:t>
      </w:r>
      <w:proofErr w:type="gramEnd"/>
      <w:r w:rsidRPr="0094357B">
        <w:rPr>
          <w:rFonts w:cs="Times New Roman" w:hint="eastAsia"/>
          <w:color w:val="000000"/>
          <w:sz w:val="21"/>
          <w:szCs w:val="21"/>
        </w:rPr>
        <w:t>金融资产的账面余额。已减记的金融资产以后又收回的，作为减值损失的转回计入收回当期的损益。</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⑤预期信用损失准备的列报</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为反映金融工具的信用风险自初始确认后的变化，本公司在每个资产负债表日重新计量预期信用损失，由此形成的损失准备的增加或转回金额，应当作为减值损失或利得计入当期损益。对于以摊</w:t>
      </w:r>
      <w:proofErr w:type="gramStart"/>
      <w:r w:rsidRPr="0094357B">
        <w:rPr>
          <w:rFonts w:cs="Times New Roman" w:hint="eastAsia"/>
          <w:color w:val="000000"/>
          <w:sz w:val="21"/>
          <w:szCs w:val="21"/>
        </w:rPr>
        <w:t>余成本</w:t>
      </w:r>
      <w:proofErr w:type="gramEnd"/>
      <w:r w:rsidRPr="0094357B">
        <w:rPr>
          <w:rFonts w:cs="Times New Roman" w:hint="eastAsia"/>
          <w:color w:val="000000"/>
          <w:sz w:val="21"/>
          <w:szCs w:val="21"/>
        </w:rPr>
        <w:t>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⑥核销</w:t>
      </w:r>
    </w:p>
    <w:p w:rsidR="00A2119D" w:rsidRPr="0094357B" w:rsidRDefault="00A2119D" w:rsidP="0094357B">
      <w:pPr>
        <w:pStyle w:val="a3"/>
        <w:spacing w:before="0" w:beforeAutospacing="0" w:after="0" w:afterAutospacing="0" w:line="360" w:lineRule="auto"/>
        <w:ind w:firstLine="420"/>
        <w:jc w:val="both"/>
        <w:divId w:val="1232279017"/>
        <w:rPr>
          <w:rFonts w:cs="Times New Roman"/>
          <w:sz w:val="21"/>
          <w:szCs w:val="21"/>
        </w:rPr>
      </w:pPr>
      <w:r w:rsidRPr="0094357B">
        <w:rPr>
          <w:rFonts w:cs="Times New Roman" w:hint="eastAsia"/>
          <w:color w:val="000000"/>
          <w:sz w:val="21"/>
          <w:szCs w:val="21"/>
        </w:rPr>
        <w:t>如果本公司不再合理预期金融资产合同现金流量能够全部或部分收回，则直接</w:t>
      </w:r>
      <w:proofErr w:type="gramStart"/>
      <w:r w:rsidRPr="0094357B">
        <w:rPr>
          <w:rFonts w:cs="Times New Roman" w:hint="eastAsia"/>
          <w:color w:val="000000"/>
          <w:sz w:val="21"/>
          <w:szCs w:val="21"/>
        </w:rPr>
        <w:t>减记该</w:t>
      </w:r>
      <w:proofErr w:type="gramEnd"/>
      <w:r w:rsidRPr="0094357B">
        <w:rPr>
          <w:rFonts w:cs="Times New Roman" w:hint="eastAsia"/>
          <w:color w:val="000000"/>
          <w:sz w:val="21"/>
          <w:szCs w:val="21"/>
        </w:rPr>
        <w:t>金融资产的账面余额。这种</w:t>
      </w:r>
      <w:proofErr w:type="gramStart"/>
      <w:r w:rsidRPr="0094357B">
        <w:rPr>
          <w:rFonts w:cs="Times New Roman" w:hint="eastAsia"/>
          <w:color w:val="000000"/>
          <w:sz w:val="21"/>
          <w:szCs w:val="21"/>
        </w:rPr>
        <w:t>减记构成</w:t>
      </w:r>
      <w:proofErr w:type="gramEnd"/>
      <w:r w:rsidRPr="0094357B">
        <w:rPr>
          <w:rFonts w:cs="Times New Roman" w:hint="eastAsia"/>
          <w:color w:val="000000"/>
          <w:sz w:val="21"/>
          <w:szCs w:val="21"/>
        </w:rPr>
        <w:t>相关金融资产的终止确认。这种情况通常发生在本公司确定债务人没有资产或收入来源可产生足够的现金流量以偿还将被减记的金额。但是，按照本公司收回到期款项的程序，被减记的金融资产仍可能受到执行活动的影响。</w:t>
      </w:r>
    </w:p>
    <w:p w:rsidR="00A2119D" w:rsidRPr="0094357B" w:rsidRDefault="00A2119D" w:rsidP="0094357B">
      <w:pPr>
        <w:pStyle w:val="a3"/>
        <w:spacing w:before="0" w:beforeAutospacing="0" w:after="0" w:afterAutospacing="0" w:line="360" w:lineRule="auto"/>
        <w:divId w:val="1232279017"/>
        <w:rPr>
          <w:sz w:val="21"/>
          <w:szCs w:val="21"/>
        </w:rPr>
      </w:pPr>
      <w:r w:rsidRPr="0094357B">
        <w:rPr>
          <w:rFonts w:hint="eastAsia"/>
          <w:color w:val="000000"/>
          <w:sz w:val="21"/>
          <w:szCs w:val="21"/>
        </w:rPr>
        <w:t>已减记的金融资产以后又收回的，作为减值损失的转回计入收回当期的损益。</w:t>
      </w:r>
    </w:p>
    <w:p w:rsidR="00A27D66" w:rsidRDefault="00A2119D">
      <w:pPr>
        <w:pStyle w:val="3"/>
        <w:spacing w:line="280" w:lineRule="exact"/>
        <w:jc w:val="left"/>
        <w:rPr>
          <w:rFonts w:ascii="宋体" w:hAnsi="宋体" w:cs="宋体"/>
          <w:b/>
          <w:bCs/>
        </w:rPr>
      </w:pPr>
      <w:bookmarkStart w:id="179" w:name="_Toc989063"/>
      <w:r>
        <w:rPr>
          <w:rFonts w:ascii="宋体" w:hAnsi="宋体" w:cs="宋体"/>
          <w:b/>
          <w:bCs/>
        </w:rPr>
        <w:t>12、应收票据</w:t>
      </w:r>
      <w:bookmarkEnd w:id="179"/>
    </w:p>
    <w:p w:rsidR="00A2119D" w:rsidRDefault="00A2119D">
      <w:pPr>
        <w:pStyle w:val="a3"/>
        <w:divId w:val="631129696"/>
        <w:rPr>
          <w:sz w:val="18"/>
          <w:szCs w:val="18"/>
        </w:rPr>
      </w:pPr>
      <w:r>
        <w:rPr>
          <w:rFonts w:hint="eastAsia"/>
          <w:sz w:val="18"/>
          <w:szCs w:val="18"/>
        </w:rPr>
        <w:t>具体处理参照 11、金融工具。</w:t>
      </w:r>
    </w:p>
    <w:p w:rsidR="00A27D66" w:rsidRDefault="00A2119D">
      <w:pPr>
        <w:pStyle w:val="3"/>
        <w:spacing w:line="280" w:lineRule="exact"/>
        <w:jc w:val="left"/>
        <w:rPr>
          <w:rFonts w:ascii="宋体" w:hAnsi="宋体" w:cs="宋体"/>
          <w:b/>
          <w:bCs/>
        </w:rPr>
      </w:pPr>
      <w:bookmarkStart w:id="180" w:name="_Toc989064"/>
      <w:r>
        <w:rPr>
          <w:rFonts w:ascii="宋体" w:hAnsi="宋体" w:cs="宋体"/>
          <w:b/>
          <w:bCs/>
        </w:rPr>
        <w:t>13、应收账款</w:t>
      </w:r>
      <w:bookmarkEnd w:id="180"/>
    </w:p>
    <w:p w:rsidR="00A2119D" w:rsidRDefault="00A2119D">
      <w:pPr>
        <w:pStyle w:val="a3"/>
        <w:divId w:val="4943971"/>
        <w:rPr>
          <w:sz w:val="18"/>
          <w:szCs w:val="18"/>
        </w:rPr>
      </w:pPr>
      <w:r>
        <w:rPr>
          <w:rFonts w:hint="eastAsia"/>
          <w:sz w:val="18"/>
          <w:szCs w:val="18"/>
        </w:rPr>
        <w:t>具体处理参照 11、金融工具。</w:t>
      </w:r>
    </w:p>
    <w:p w:rsidR="00A27D66" w:rsidRDefault="00A2119D">
      <w:pPr>
        <w:pStyle w:val="3"/>
        <w:spacing w:line="280" w:lineRule="exact"/>
        <w:jc w:val="left"/>
        <w:rPr>
          <w:rFonts w:ascii="宋体" w:hAnsi="宋体" w:cs="宋体"/>
          <w:b/>
          <w:bCs/>
        </w:rPr>
      </w:pPr>
      <w:bookmarkStart w:id="181" w:name="_Toc989065"/>
      <w:r>
        <w:rPr>
          <w:rFonts w:ascii="宋体" w:hAnsi="宋体" w:cs="宋体"/>
          <w:b/>
          <w:bCs/>
        </w:rPr>
        <w:t>14、应收款项融资</w:t>
      </w:r>
      <w:bookmarkEnd w:id="181"/>
    </w:p>
    <w:p w:rsidR="00A2119D" w:rsidRDefault="00A2119D">
      <w:pPr>
        <w:pStyle w:val="a3"/>
        <w:divId w:val="595400840"/>
        <w:rPr>
          <w:sz w:val="18"/>
          <w:szCs w:val="18"/>
        </w:rPr>
      </w:pPr>
      <w:r>
        <w:rPr>
          <w:rFonts w:hint="eastAsia"/>
          <w:sz w:val="18"/>
          <w:szCs w:val="18"/>
        </w:rPr>
        <w:t>不适用。</w:t>
      </w:r>
    </w:p>
    <w:p w:rsidR="00A27D66" w:rsidRDefault="00A2119D">
      <w:pPr>
        <w:pStyle w:val="3"/>
        <w:spacing w:line="280" w:lineRule="exact"/>
        <w:jc w:val="left"/>
        <w:rPr>
          <w:rFonts w:ascii="宋体" w:hAnsi="宋体" w:cs="宋体"/>
          <w:b/>
          <w:bCs/>
        </w:rPr>
      </w:pPr>
      <w:bookmarkStart w:id="182" w:name="_Toc989066"/>
      <w:r>
        <w:rPr>
          <w:rFonts w:ascii="宋体" w:hAnsi="宋体" w:cs="宋体"/>
          <w:b/>
          <w:bCs/>
        </w:rPr>
        <w:t>15、其他应收款</w:t>
      </w:r>
      <w:bookmarkEnd w:id="182"/>
    </w:p>
    <w:p w:rsidR="00A2119D" w:rsidRDefault="00A2119D">
      <w:pPr>
        <w:pStyle w:val="a3"/>
        <w:divId w:val="391654853"/>
        <w:rPr>
          <w:sz w:val="18"/>
          <w:szCs w:val="18"/>
        </w:rPr>
      </w:pPr>
      <w:r>
        <w:rPr>
          <w:rFonts w:hint="eastAsia"/>
          <w:sz w:val="18"/>
          <w:szCs w:val="18"/>
        </w:rPr>
        <w:t>具体处理参照 11、金融工具。</w:t>
      </w:r>
    </w:p>
    <w:p w:rsidR="00A27D66" w:rsidRDefault="00A2119D">
      <w:pPr>
        <w:pStyle w:val="3"/>
        <w:spacing w:line="280" w:lineRule="exact"/>
        <w:jc w:val="left"/>
        <w:rPr>
          <w:rFonts w:ascii="宋体" w:hAnsi="宋体" w:cs="宋体"/>
          <w:b/>
          <w:bCs/>
        </w:rPr>
      </w:pPr>
      <w:bookmarkStart w:id="183" w:name="_Toc989067"/>
      <w:r>
        <w:rPr>
          <w:rFonts w:ascii="宋体" w:hAnsi="宋体" w:cs="宋体"/>
          <w:b/>
          <w:bCs/>
        </w:rPr>
        <w:t>16、合同资产</w:t>
      </w:r>
      <w:bookmarkEnd w:id="183"/>
    </w:p>
    <w:p w:rsidR="00A2119D" w:rsidRDefault="00A2119D">
      <w:pPr>
        <w:pStyle w:val="a3"/>
        <w:divId w:val="1707177665"/>
        <w:rPr>
          <w:sz w:val="18"/>
          <w:szCs w:val="18"/>
        </w:rPr>
      </w:pPr>
      <w:r>
        <w:rPr>
          <w:rFonts w:hint="eastAsia"/>
          <w:sz w:val="18"/>
          <w:szCs w:val="18"/>
        </w:rPr>
        <w:t>不适用。</w:t>
      </w:r>
    </w:p>
    <w:p w:rsidR="00A27D66" w:rsidRDefault="00A2119D">
      <w:pPr>
        <w:pStyle w:val="3"/>
        <w:spacing w:line="280" w:lineRule="exact"/>
        <w:jc w:val="left"/>
        <w:rPr>
          <w:rFonts w:ascii="宋体" w:hAnsi="宋体" w:cs="宋体"/>
          <w:b/>
          <w:bCs/>
        </w:rPr>
      </w:pPr>
      <w:bookmarkStart w:id="184" w:name="_Toc989068"/>
      <w:r>
        <w:rPr>
          <w:rFonts w:ascii="宋体" w:hAnsi="宋体" w:cs="宋体"/>
          <w:b/>
          <w:bCs/>
        </w:rPr>
        <w:lastRenderedPageBreak/>
        <w:t>17、存货</w:t>
      </w:r>
      <w:bookmarkEnd w:id="184"/>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w:t>
      </w:r>
      <w:r w:rsidRPr="0094357B">
        <w:rPr>
          <w:rFonts w:cs="Times New Roman"/>
          <w:color w:val="000000"/>
          <w:sz w:val="21"/>
          <w:szCs w:val="21"/>
        </w:rPr>
        <w:t>1</w:t>
      </w:r>
      <w:r>
        <w:rPr>
          <w:rFonts w:cs="Times New Roman" w:hint="eastAsia"/>
          <w:color w:val="000000"/>
          <w:sz w:val="21"/>
          <w:szCs w:val="21"/>
        </w:rPr>
        <w:t>）存货的分类</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存货分为原材料、库存商品、在产品、发出商品、委托加工物资、半成品、在途物资、低值易耗品等。</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w:t>
      </w:r>
      <w:r w:rsidRPr="0094357B">
        <w:rPr>
          <w:rFonts w:cs="Times New Roman"/>
          <w:color w:val="000000"/>
          <w:sz w:val="21"/>
          <w:szCs w:val="21"/>
        </w:rPr>
        <w:t>2</w:t>
      </w:r>
      <w:r>
        <w:rPr>
          <w:rFonts w:cs="Times New Roman" w:hint="eastAsia"/>
          <w:color w:val="000000"/>
          <w:sz w:val="21"/>
          <w:szCs w:val="21"/>
        </w:rPr>
        <w:t>）发出存货的计价方法</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本公司存货取得时按实际成本计价。原材料、库存商品等发出时采用加权平均法计价。</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w:t>
      </w:r>
      <w:r w:rsidRPr="0094357B">
        <w:rPr>
          <w:rFonts w:cs="Times New Roman"/>
          <w:color w:val="000000"/>
          <w:sz w:val="21"/>
          <w:szCs w:val="21"/>
        </w:rPr>
        <w:t>3</w:t>
      </w:r>
      <w:r>
        <w:rPr>
          <w:rFonts w:cs="Times New Roman" w:hint="eastAsia"/>
          <w:color w:val="000000"/>
          <w:sz w:val="21"/>
          <w:szCs w:val="21"/>
        </w:rPr>
        <w:t>）存货跌价准备的确认标准和计提方法</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在资产负债表日，存货按照成本与可变现净值孰低计量。当其可变现净值低于成本时，提取存货跌价准备。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本公司存货跌价准备按单个存货项目的成本高于其可变现净值的差额提取。对于数量繁多、单价较低的存货，按存货类别计提存货跌价准备，其中：</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sidRPr="0094357B">
        <w:rPr>
          <w:rFonts w:cs="Times New Roman" w:hint="eastAsia"/>
          <w:color w:val="000000"/>
          <w:sz w:val="21"/>
          <w:szCs w:val="21"/>
        </w:rPr>
        <w:t>①</w:t>
      </w:r>
      <w:r>
        <w:rPr>
          <w:rFonts w:cs="Times New Roman" w:hint="eastAsia"/>
          <w:color w:val="000000"/>
          <w:sz w:val="21"/>
          <w:szCs w:val="21"/>
        </w:rPr>
        <w:t>产成品、库存商品和用于出售的材料等直接用于出售的商品存货，在正常生产经营过程中，以该存货的估计售价减去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②需要经过加工的材料存货，在正常生产经营过程中，以所生产的产成品的估计售价减去至完工时估计将要发生的成本、估计的销售费用和相关税费后的金额，确定其可变现净值。</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计提存货跌价准备后，如果</w:t>
      </w:r>
      <w:proofErr w:type="gramStart"/>
      <w:r>
        <w:rPr>
          <w:rFonts w:cs="Times New Roman" w:hint="eastAsia"/>
          <w:color w:val="000000"/>
          <w:sz w:val="21"/>
          <w:szCs w:val="21"/>
        </w:rPr>
        <w:t>以前减记</w:t>
      </w:r>
      <w:proofErr w:type="gramEnd"/>
      <w:r>
        <w:rPr>
          <w:rFonts w:cs="Times New Roman" w:hint="eastAsia"/>
          <w:color w:val="000000"/>
          <w:sz w:val="21"/>
          <w:szCs w:val="21"/>
        </w:rPr>
        <w:t>存货价值的影响因素已经消失，导致存货的可变现净值高于其账面价值的，在原已计提的存货跌价准备金额内予以转回，转回的金额计入当期损益。</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w:t>
      </w:r>
      <w:r w:rsidRPr="0094357B">
        <w:rPr>
          <w:rFonts w:cs="Times New Roman"/>
          <w:color w:val="000000"/>
          <w:sz w:val="21"/>
          <w:szCs w:val="21"/>
        </w:rPr>
        <w:t>4</w:t>
      </w:r>
      <w:r>
        <w:rPr>
          <w:rFonts w:cs="Times New Roman" w:hint="eastAsia"/>
          <w:color w:val="000000"/>
          <w:sz w:val="21"/>
          <w:szCs w:val="21"/>
        </w:rPr>
        <w:t>）存货的盘存制度：</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存货采用永续盘存制，并定期盘点存货。</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w:t>
      </w:r>
      <w:r w:rsidRPr="0094357B">
        <w:rPr>
          <w:rFonts w:cs="Times New Roman"/>
          <w:color w:val="000000"/>
          <w:sz w:val="21"/>
          <w:szCs w:val="21"/>
        </w:rPr>
        <w:t>5</w:t>
      </w:r>
      <w:r>
        <w:rPr>
          <w:rFonts w:cs="Times New Roman" w:hint="eastAsia"/>
          <w:color w:val="000000"/>
          <w:sz w:val="21"/>
          <w:szCs w:val="21"/>
        </w:rPr>
        <w:t>）低值易耗品和包装物的摊销方法</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低值易耗品的摊销方法：低值易耗品采用一次摊销法摊销。</w:t>
      </w:r>
    </w:p>
    <w:p w:rsidR="00A2119D" w:rsidRPr="0094357B" w:rsidRDefault="00A2119D" w:rsidP="0094357B">
      <w:pPr>
        <w:pStyle w:val="a3"/>
        <w:spacing w:before="0" w:beforeAutospacing="0" w:after="0" w:afterAutospacing="0" w:line="360" w:lineRule="auto"/>
        <w:ind w:firstLine="420"/>
        <w:jc w:val="both"/>
        <w:divId w:val="2088528325"/>
        <w:rPr>
          <w:rFonts w:cs="Times New Roman"/>
          <w:color w:val="000000"/>
          <w:sz w:val="21"/>
          <w:szCs w:val="21"/>
        </w:rPr>
      </w:pPr>
      <w:r>
        <w:rPr>
          <w:rFonts w:cs="Times New Roman" w:hint="eastAsia"/>
          <w:color w:val="000000"/>
          <w:sz w:val="21"/>
          <w:szCs w:val="21"/>
        </w:rPr>
        <w:t>包装物的摊销方法：包装物采用一次摊销法摊销。</w:t>
      </w:r>
    </w:p>
    <w:p w:rsidR="00A27D66" w:rsidRDefault="00A2119D">
      <w:pPr>
        <w:pStyle w:val="3"/>
        <w:spacing w:line="280" w:lineRule="exact"/>
        <w:jc w:val="left"/>
        <w:rPr>
          <w:rFonts w:ascii="宋体" w:hAnsi="宋体" w:cs="宋体"/>
          <w:b/>
          <w:bCs/>
        </w:rPr>
      </w:pPr>
      <w:bookmarkStart w:id="185" w:name="_Toc989069"/>
      <w:r>
        <w:rPr>
          <w:rFonts w:ascii="宋体" w:hAnsi="宋体" w:cs="宋体"/>
          <w:b/>
          <w:bCs/>
        </w:rPr>
        <w:t>18、持有待售资产</w:t>
      </w:r>
      <w:bookmarkEnd w:id="185"/>
    </w:p>
    <w:p w:rsidR="00A2119D" w:rsidRDefault="00A2119D">
      <w:pPr>
        <w:pStyle w:val="a3"/>
        <w:divId w:val="1323043319"/>
        <w:rPr>
          <w:sz w:val="18"/>
          <w:szCs w:val="18"/>
        </w:rPr>
      </w:pPr>
      <w:r>
        <w:rPr>
          <w:rFonts w:hint="eastAsia"/>
          <w:sz w:val="18"/>
          <w:szCs w:val="18"/>
        </w:rPr>
        <w:t>不适用。</w:t>
      </w:r>
    </w:p>
    <w:p w:rsidR="00A27D66" w:rsidRDefault="00A2119D">
      <w:pPr>
        <w:pStyle w:val="3"/>
        <w:spacing w:line="280" w:lineRule="exact"/>
        <w:jc w:val="left"/>
        <w:rPr>
          <w:rFonts w:ascii="宋体" w:hAnsi="宋体" w:cs="宋体"/>
          <w:b/>
          <w:bCs/>
        </w:rPr>
      </w:pPr>
      <w:bookmarkStart w:id="186" w:name="_Toc989070"/>
      <w:r>
        <w:rPr>
          <w:rFonts w:ascii="宋体" w:hAnsi="宋体" w:cs="宋体"/>
          <w:b/>
          <w:bCs/>
        </w:rPr>
        <w:lastRenderedPageBreak/>
        <w:t>19、债权投资</w:t>
      </w:r>
      <w:bookmarkEnd w:id="186"/>
    </w:p>
    <w:p w:rsidR="00A2119D" w:rsidRDefault="00A2119D">
      <w:pPr>
        <w:pStyle w:val="a3"/>
        <w:divId w:val="1624844951"/>
        <w:rPr>
          <w:sz w:val="18"/>
          <w:szCs w:val="18"/>
        </w:rPr>
      </w:pPr>
      <w:r>
        <w:rPr>
          <w:rFonts w:hint="eastAsia"/>
          <w:sz w:val="18"/>
          <w:szCs w:val="18"/>
        </w:rPr>
        <w:t>不适用。</w:t>
      </w:r>
    </w:p>
    <w:p w:rsidR="00A27D66" w:rsidRDefault="00A2119D">
      <w:pPr>
        <w:pStyle w:val="3"/>
        <w:spacing w:line="280" w:lineRule="exact"/>
        <w:jc w:val="left"/>
        <w:rPr>
          <w:rFonts w:ascii="宋体" w:hAnsi="宋体" w:cs="宋体"/>
          <w:b/>
          <w:bCs/>
        </w:rPr>
      </w:pPr>
      <w:bookmarkStart w:id="187" w:name="_Toc989071"/>
      <w:r>
        <w:rPr>
          <w:rFonts w:ascii="宋体" w:hAnsi="宋体" w:cs="宋体"/>
          <w:b/>
          <w:bCs/>
        </w:rPr>
        <w:t>20、其他债权投资</w:t>
      </w:r>
      <w:bookmarkEnd w:id="187"/>
    </w:p>
    <w:p w:rsidR="00A2119D" w:rsidRDefault="00A2119D">
      <w:pPr>
        <w:pStyle w:val="a3"/>
        <w:divId w:val="70322511"/>
        <w:rPr>
          <w:sz w:val="18"/>
          <w:szCs w:val="18"/>
        </w:rPr>
      </w:pPr>
      <w:r>
        <w:rPr>
          <w:rFonts w:hint="eastAsia"/>
          <w:sz w:val="18"/>
          <w:szCs w:val="18"/>
        </w:rPr>
        <w:t>不适用。</w:t>
      </w:r>
    </w:p>
    <w:p w:rsidR="00A27D66" w:rsidRDefault="00A2119D">
      <w:pPr>
        <w:pStyle w:val="3"/>
        <w:spacing w:line="280" w:lineRule="exact"/>
        <w:jc w:val="left"/>
        <w:rPr>
          <w:rFonts w:ascii="宋体" w:hAnsi="宋体" w:cs="宋体"/>
          <w:b/>
          <w:bCs/>
        </w:rPr>
      </w:pPr>
      <w:bookmarkStart w:id="188" w:name="_Toc989072"/>
      <w:r>
        <w:rPr>
          <w:rFonts w:ascii="宋体" w:hAnsi="宋体" w:cs="宋体"/>
          <w:b/>
          <w:bCs/>
        </w:rPr>
        <w:t>21、长期应收款</w:t>
      </w:r>
      <w:bookmarkEnd w:id="188"/>
    </w:p>
    <w:p w:rsidR="00A2119D" w:rsidRDefault="00A2119D">
      <w:pPr>
        <w:pStyle w:val="a3"/>
        <w:divId w:val="877401650"/>
        <w:rPr>
          <w:sz w:val="18"/>
          <w:szCs w:val="18"/>
        </w:rPr>
      </w:pPr>
      <w:r>
        <w:rPr>
          <w:rFonts w:hint="eastAsia"/>
          <w:sz w:val="18"/>
          <w:szCs w:val="18"/>
        </w:rPr>
        <w:t>具体处理参照 11、金融工具。</w:t>
      </w:r>
    </w:p>
    <w:p w:rsidR="00A27D66" w:rsidRDefault="00A2119D">
      <w:pPr>
        <w:pStyle w:val="3"/>
        <w:spacing w:line="280" w:lineRule="exact"/>
        <w:jc w:val="left"/>
        <w:rPr>
          <w:rFonts w:ascii="宋体" w:hAnsi="宋体" w:cs="宋体"/>
          <w:b/>
          <w:bCs/>
        </w:rPr>
      </w:pPr>
      <w:bookmarkStart w:id="189" w:name="_Toc989073"/>
      <w:r>
        <w:rPr>
          <w:rFonts w:ascii="宋体" w:hAnsi="宋体" w:cs="宋体"/>
          <w:b/>
          <w:bCs/>
        </w:rPr>
        <w:t>22、长期股权投资</w:t>
      </w:r>
      <w:bookmarkEnd w:id="189"/>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Pr>
          <w:rFonts w:cs="Times New Roman" w:hint="eastAsia"/>
          <w:color w:val="000000"/>
          <w:sz w:val="21"/>
          <w:szCs w:val="21"/>
        </w:rPr>
        <w:t>（</w:t>
      </w:r>
      <w:r w:rsidRPr="0094357B">
        <w:rPr>
          <w:rFonts w:cs="Times New Roman"/>
          <w:color w:val="000000"/>
          <w:sz w:val="21"/>
          <w:szCs w:val="21"/>
        </w:rPr>
        <w:t>1</w:t>
      </w:r>
      <w:r>
        <w:rPr>
          <w:rFonts w:cs="Times New Roman" w:hint="eastAsia"/>
          <w:color w:val="000000"/>
          <w:sz w:val="21"/>
          <w:szCs w:val="21"/>
        </w:rPr>
        <w:t>）确定对被投资单位具有共同控制、重大影响的依据</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Pr>
          <w:rFonts w:cs="Times New Roman" w:hint="eastAsia"/>
          <w:color w:val="000000"/>
          <w:sz w:val="21"/>
          <w:szCs w:val="21"/>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其次再判断该安排相关活动的决策是否必须经过这些集体控制该安排的参与方一致同意。如果所有参与方或一组参与方必须一致行动才能决定某项安排的相关活动，则认为所有参与方或一组参与</w:t>
      </w:r>
      <w:proofErr w:type="gramStart"/>
      <w:r>
        <w:rPr>
          <w:rFonts w:cs="Times New Roman" w:hint="eastAsia"/>
          <w:color w:val="000000"/>
          <w:sz w:val="21"/>
          <w:szCs w:val="21"/>
        </w:rPr>
        <w:t>方集体</w:t>
      </w:r>
      <w:proofErr w:type="gramEnd"/>
      <w:r>
        <w:rPr>
          <w:rFonts w:cs="Times New Roman" w:hint="eastAsia"/>
          <w:color w:val="000000"/>
          <w:sz w:val="21"/>
          <w:szCs w:val="21"/>
        </w:rPr>
        <w:t>控制该安排。如果存在两个或两个以上的参与方组合能够集体控制某项安排的，不构成共同控制。判断是否存在共同控制时，不考虑享有的保护性权利。</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Pr>
          <w:rFonts w:cs="Times New Roman" w:hint="eastAsia"/>
          <w:color w:val="000000"/>
          <w:sz w:val="21"/>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w:t>
      </w:r>
      <w:proofErr w:type="gramStart"/>
      <w:r>
        <w:rPr>
          <w:rFonts w:cs="Times New Roman" w:hint="eastAsia"/>
          <w:color w:val="000000"/>
          <w:sz w:val="21"/>
          <w:szCs w:val="21"/>
        </w:rPr>
        <w:t>券</w:t>
      </w:r>
      <w:proofErr w:type="gramEnd"/>
      <w:r>
        <w:rPr>
          <w:rFonts w:cs="Times New Roman" w:hint="eastAsia"/>
          <w:color w:val="000000"/>
          <w:sz w:val="21"/>
          <w:szCs w:val="21"/>
        </w:rPr>
        <w:t>等的影响。直接或通过子公司间接拥有被投资企业</w:t>
      </w:r>
      <w:r w:rsidRPr="0094357B">
        <w:rPr>
          <w:rFonts w:cs="Times New Roman"/>
          <w:color w:val="000000"/>
          <w:sz w:val="21"/>
          <w:szCs w:val="21"/>
        </w:rPr>
        <w:t>20%</w:t>
      </w:r>
      <w:r>
        <w:rPr>
          <w:rFonts w:cs="Times New Roman" w:hint="eastAsia"/>
          <w:color w:val="000000"/>
          <w:sz w:val="21"/>
          <w:szCs w:val="21"/>
        </w:rPr>
        <w:t>（含</w:t>
      </w:r>
      <w:r w:rsidRPr="0094357B">
        <w:rPr>
          <w:rFonts w:cs="Times New Roman"/>
          <w:color w:val="000000"/>
          <w:sz w:val="21"/>
          <w:szCs w:val="21"/>
        </w:rPr>
        <w:t>20%</w:t>
      </w:r>
      <w:r>
        <w:rPr>
          <w:rFonts w:cs="Times New Roman" w:hint="eastAsia"/>
          <w:color w:val="000000"/>
          <w:sz w:val="21"/>
          <w:szCs w:val="21"/>
        </w:rPr>
        <w:t>）</w:t>
      </w:r>
      <w:proofErr w:type="gramStart"/>
      <w:r>
        <w:rPr>
          <w:rFonts w:cs="Times New Roman" w:hint="eastAsia"/>
          <w:color w:val="000000"/>
          <w:sz w:val="21"/>
          <w:szCs w:val="21"/>
        </w:rPr>
        <w:t>以上但</w:t>
      </w:r>
      <w:proofErr w:type="gramEnd"/>
      <w:r>
        <w:rPr>
          <w:rFonts w:cs="Times New Roman" w:hint="eastAsia"/>
          <w:color w:val="000000"/>
          <w:sz w:val="21"/>
          <w:szCs w:val="21"/>
        </w:rPr>
        <w:t>低于</w:t>
      </w:r>
      <w:r w:rsidRPr="0094357B">
        <w:rPr>
          <w:rFonts w:cs="Times New Roman"/>
          <w:color w:val="000000"/>
          <w:sz w:val="21"/>
          <w:szCs w:val="21"/>
        </w:rPr>
        <w:t>50%</w:t>
      </w:r>
      <w:r>
        <w:rPr>
          <w:rFonts w:cs="Times New Roman" w:hint="eastAsia"/>
          <w:color w:val="000000"/>
          <w:sz w:val="21"/>
          <w:szCs w:val="21"/>
        </w:rPr>
        <w:t>的表决权股份时，一般认为对被投资单位具有重大影响。除非有明确证据表明该种情况下不能参与被投资单位的生产经营决策，不形成重大影响。</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Pr>
          <w:rFonts w:cs="Times New Roman" w:hint="eastAsia"/>
          <w:color w:val="000000"/>
          <w:sz w:val="21"/>
          <w:szCs w:val="21"/>
        </w:rPr>
        <w:t>（</w:t>
      </w:r>
      <w:r w:rsidRPr="0094357B">
        <w:rPr>
          <w:rFonts w:cs="Times New Roman"/>
          <w:color w:val="000000"/>
          <w:sz w:val="21"/>
          <w:szCs w:val="21"/>
        </w:rPr>
        <w:t>2</w:t>
      </w:r>
      <w:r>
        <w:rPr>
          <w:rFonts w:cs="Times New Roman" w:hint="eastAsia"/>
          <w:color w:val="000000"/>
          <w:sz w:val="21"/>
          <w:szCs w:val="21"/>
        </w:rPr>
        <w:t>）初始投资成本确定</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hint="eastAsia"/>
          <w:color w:val="000000"/>
          <w:sz w:val="21"/>
          <w:szCs w:val="21"/>
        </w:rPr>
        <w:t>①</w:t>
      </w:r>
      <w:r>
        <w:rPr>
          <w:rFonts w:cs="Times New Roman" w:hint="eastAsia"/>
          <w:color w:val="000000"/>
          <w:sz w:val="21"/>
          <w:szCs w:val="21"/>
        </w:rPr>
        <w:t>企业合并形成的长期股权投资</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hint="eastAsia"/>
          <w:color w:val="000000"/>
          <w:sz w:val="21"/>
          <w:szCs w:val="21"/>
        </w:rPr>
        <w:t>同</w:t>
      </w:r>
      <w:proofErr w:type="gramStart"/>
      <w:r w:rsidRPr="0094357B">
        <w:rPr>
          <w:rFonts w:cs="Times New Roman" w:hint="eastAsia"/>
          <w:color w:val="000000"/>
          <w:sz w:val="21"/>
          <w:szCs w:val="21"/>
        </w:rPr>
        <w:t>一控制</w:t>
      </w:r>
      <w:proofErr w:type="gramEnd"/>
      <w:r w:rsidRPr="0094357B">
        <w:rPr>
          <w:rFonts w:cs="Times New Roman" w:hint="eastAsia"/>
          <w:color w:val="000000"/>
          <w:sz w:val="21"/>
          <w:szCs w:val="21"/>
        </w:rPr>
        <w:t>下的企业合并,在</w:t>
      </w:r>
      <w:proofErr w:type="gramStart"/>
      <w:r w:rsidRPr="0094357B">
        <w:rPr>
          <w:rFonts w:cs="Times New Roman" w:hint="eastAsia"/>
          <w:color w:val="000000"/>
          <w:sz w:val="21"/>
          <w:szCs w:val="21"/>
        </w:rPr>
        <w:t>合并日按照</w:t>
      </w:r>
      <w:proofErr w:type="gramEnd"/>
      <w:r w:rsidRPr="0094357B">
        <w:rPr>
          <w:rFonts w:cs="Times New Roman" w:hint="eastAsia"/>
          <w:color w:val="000000"/>
          <w:sz w:val="21"/>
          <w:szCs w:val="21"/>
        </w:rPr>
        <w:t>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hint="eastAsia"/>
          <w:color w:val="000000"/>
          <w:sz w:val="21"/>
          <w:szCs w:val="21"/>
        </w:rPr>
        <w:lastRenderedPageBreak/>
        <w:t>非同</w:t>
      </w:r>
      <w:proofErr w:type="gramStart"/>
      <w:r w:rsidRPr="0094357B">
        <w:rPr>
          <w:rFonts w:cs="Times New Roman" w:hint="eastAsia"/>
          <w:color w:val="000000"/>
          <w:sz w:val="21"/>
          <w:szCs w:val="21"/>
        </w:rPr>
        <w:t>一控制</w:t>
      </w:r>
      <w:proofErr w:type="gramEnd"/>
      <w:r w:rsidRPr="0094357B">
        <w:rPr>
          <w:rFonts w:cs="Times New Roman" w:hint="eastAsia"/>
          <w:color w:val="000000"/>
          <w:sz w:val="21"/>
          <w:szCs w:val="21"/>
        </w:rPr>
        <w:t>下的企业合并,在购买</w:t>
      </w:r>
      <w:proofErr w:type="gramStart"/>
      <w:r w:rsidRPr="0094357B">
        <w:rPr>
          <w:rFonts w:cs="Times New Roman" w:hint="eastAsia"/>
          <w:color w:val="000000"/>
          <w:sz w:val="21"/>
          <w:szCs w:val="21"/>
        </w:rPr>
        <w:t>日按照</w:t>
      </w:r>
      <w:proofErr w:type="gramEnd"/>
      <w:r w:rsidRPr="0094357B">
        <w:rPr>
          <w:rFonts w:cs="Times New Roman" w:hint="eastAsia"/>
          <w:color w:val="000000"/>
          <w:sz w:val="21"/>
          <w:szCs w:val="21"/>
        </w:rPr>
        <w:t>支付的合并对价的公允价值确定的合并成本作为长期股权投资的初始投资成本。因追加投资等原因能够对非同</w:t>
      </w:r>
      <w:proofErr w:type="gramStart"/>
      <w:r w:rsidRPr="0094357B">
        <w:rPr>
          <w:rFonts w:cs="Times New Roman" w:hint="eastAsia"/>
          <w:color w:val="000000"/>
          <w:sz w:val="21"/>
          <w:szCs w:val="21"/>
        </w:rPr>
        <w:t>一控制</w:t>
      </w:r>
      <w:proofErr w:type="gramEnd"/>
      <w:r w:rsidRPr="0094357B">
        <w:rPr>
          <w:rFonts w:cs="Times New Roman" w:hint="eastAsia"/>
          <w:color w:val="000000"/>
          <w:sz w:val="21"/>
          <w:szCs w:val="21"/>
        </w:rPr>
        <w:t>下的被投资单位实施控制的，按照原持有的股权投资账面价值加上新增投资成本之和作为初始投资成本。</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hint="eastAsia"/>
          <w:color w:val="000000"/>
          <w:sz w:val="21"/>
          <w:szCs w:val="21"/>
        </w:rPr>
        <w:t>②</w:t>
      </w:r>
      <w:r>
        <w:rPr>
          <w:rFonts w:cs="Times New Roman" w:hint="eastAsia"/>
          <w:color w:val="000000"/>
          <w:sz w:val="21"/>
          <w:szCs w:val="21"/>
        </w:rPr>
        <w:t>除企业合并形成的长期股权投资以外，其他方式取得的长期股权投资，按照下列规定确定其初始投资成本：</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color w:val="000000"/>
          <w:sz w:val="21"/>
          <w:szCs w:val="21"/>
        </w:rPr>
        <w:t>A.</w:t>
      </w:r>
      <w:r>
        <w:rPr>
          <w:rFonts w:cs="Times New Roman" w:hint="eastAsia"/>
          <w:color w:val="000000"/>
          <w:sz w:val="21"/>
          <w:szCs w:val="21"/>
        </w:rPr>
        <w:t>以支付现金取得的长期股权投资，按照实际支付的购买价款作为初始投资成本。初始投资成本包括与取得长期股权投资直接相关的费用、税金及其他必要支出。</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color w:val="000000"/>
          <w:sz w:val="21"/>
          <w:szCs w:val="21"/>
        </w:rPr>
        <w:t>B.</w:t>
      </w:r>
      <w:r>
        <w:rPr>
          <w:rFonts w:cs="Times New Roman" w:hint="eastAsia"/>
          <w:color w:val="000000"/>
          <w:sz w:val="21"/>
          <w:szCs w:val="21"/>
        </w:rPr>
        <w:t>以发行权益</w:t>
      </w:r>
      <w:proofErr w:type="gramStart"/>
      <w:r>
        <w:rPr>
          <w:rFonts w:cs="Times New Roman" w:hint="eastAsia"/>
          <w:color w:val="000000"/>
          <w:sz w:val="21"/>
          <w:szCs w:val="21"/>
        </w:rPr>
        <w:t>性证券</w:t>
      </w:r>
      <w:proofErr w:type="gramEnd"/>
      <w:r>
        <w:rPr>
          <w:rFonts w:cs="Times New Roman" w:hint="eastAsia"/>
          <w:color w:val="000000"/>
          <w:sz w:val="21"/>
          <w:szCs w:val="21"/>
        </w:rPr>
        <w:t>取得的长期股权投资，按照发行权益</w:t>
      </w:r>
      <w:proofErr w:type="gramStart"/>
      <w:r>
        <w:rPr>
          <w:rFonts w:cs="Times New Roman" w:hint="eastAsia"/>
          <w:color w:val="000000"/>
          <w:sz w:val="21"/>
          <w:szCs w:val="21"/>
        </w:rPr>
        <w:t>性证券</w:t>
      </w:r>
      <w:proofErr w:type="gramEnd"/>
      <w:r>
        <w:rPr>
          <w:rFonts w:cs="Times New Roman" w:hint="eastAsia"/>
          <w:color w:val="000000"/>
          <w:sz w:val="21"/>
          <w:szCs w:val="21"/>
        </w:rPr>
        <w:t>的公允价值作为初始投资成本。</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color w:val="000000"/>
          <w:sz w:val="21"/>
          <w:szCs w:val="21"/>
        </w:rPr>
        <w:t>C.</w:t>
      </w:r>
      <w:r>
        <w:rPr>
          <w:rFonts w:cs="Times New Roman" w:hint="eastAsia"/>
          <w:color w:val="000000"/>
          <w:sz w:val="21"/>
          <w:szCs w:val="21"/>
        </w:rPr>
        <w:t>通过非货币性资产交换取得的长期股权投资，如果该项交换具有商业实质且换入资产或换出资产的公允价值能可靠计量，则以换出资产的公允价值（有确凿证据证明换入资产的公允价值更加可靠的除外）和相关税费作为初始投资成本，换出资产的公允价值与账面价值之间的差额计入当期损益；若非货币资产交换不同时具备上述两个条件，则按换出资产的账面价值和相关税费作为初始投资成本。</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color w:val="000000"/>
          <w:sz w:val="21"/>
          <w:szCs w:val="21"/>
        </w:rPr>
        <w:t>D.</w:t>
      </w:r>
      <w:r>
        <w:rPr>
          <w:rFonts w:cs="Times New Roman" w:hint="eastAsia"/>
          <w:color w:val="000000"/>
          <w:sz w:val="21"/>
          <w:szCs w:val="21"/>
        </w:rPr>
        <w:t>通过债务重组取得的长期股权投资，其初始投资成本以所放弃债权的公允价值和</w:t>
      </w:r>
      <w:proofErr w:type="gramStart"/>
      <w:r>
        <w:rPr>
          <w:rFonts w:cs="Times New Roman" w:hint="eastAsia"/>
          <w:color w:val="000000"/>
          <w:sz w:val="21"/>
          <w:szCs w:val="21"/>
        </w:rPr>
        <w:t>可</w:t>
      </w:r>
      <w:proofErr w:type="gramEnd"/>
      <w:r>
        <w:rPr>
          <w:rFonts w:cs="Times New Roman" w:hint="eastAsia"/>
          <w:color w:val="000000"/>
          <w:sz w:val="21"/>
          <w:szCs w:val="21"/>
        </w:rPr>
        <w:t>直接归属于该资产的税金等其他成本确定其入账价值，并将所放弃债权的公允价值与账面价值之间的差额计入当期损益。</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Pr>
          <w:rFonts w:cs="Times New Roman" w:hint="eastAsia"/>
          <w:color w:val="000000"/>
          <w:sz w:val="21"/>
          <w:szCs w:val="21"/>
        </w:rPr>
        <w:t>（</w:t>
      </w:r>
      <w:r w:rsidRPr="0094357B">
        <w:rPr>
          <w:rFonts w:cs="Times New Roman"/>
          <w:color w:val="000000"/>
          <w:sz w:val="21"/>
          <w:szCs w:val="21"/>
        </w:rPr>
        <w:t>3</w:t>
      </w:r>
      <w:r>
        <w:rPr>
          <w:rFonts w:cs="Times New Roman" w:hint="eastAsia"/>
          <w:color w:val="000000"/>
          <w:sz w:val="21"/>
          <w:szCs w:val="21"/>
        </w:rPr>
        <w:t>）后续计量和损益确认方法</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hint="eastAsia"/>
          <w:color w:val="000000"/>
          <w:sz w:val="21"/>
          <w:szCs w:val="21"/>
        </w:rPr>
        <w:t>①</w:t>
      </w:r>
      <w:r>
        <w:rPr>
          <w:rFonts w:cs="Times New Roman" w:hint="eastAsia"/>
          <w:color w:val="000000"/>
          <w:sz w:val="21"/>
          <w:szCs w:val="21"/>
        </w:rPr>
        <w:t>成本法核算：能够对被投资单位实施控制的长期股权投资，采用成本法核算，除非投资符合持有待售的条件。除取得投资时实际支付的价款或对价中包含的已宣告但尚未发放的现金股利或利润外，公司按照享有被投资单位宣告发放的现金股利或利润确认投资收益。</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hint="eastAsia"/>
          <w:color w:val="000000"/>
          <w:sz w:val="21"/>
          <w:szCs w:val="21"/>
        </w:rPr>
        <w:t>②</w:t>
      </w:r>
      <w:r>
        <w:rPr>
          <w:rFonts w:cs="Times New Roman" w:hint="eastAsia"/>
          <w:color w:val="000000"/>
          <w:sz w:val="21"/>
          <w:szCs w:val="21"/>
        </w:rPr>
        <w:t>权益法核算：</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hint="eastAsia"/>
          <w:color w:val="000000"/>
          <w:sz w:val="21"/>
          <w:szCs w:val="21"/>
        </w:rPr>
        <w:t>长期股权投资的初始投资成本大于投资时应享有被投资单位可辨认净资产公允价值份额的，不调整长期股权投资的初始投资成本；长期股权投资的初始投资成本小于投资时应享有被投资单位可辨认净资产公允价值份额的，其差额应当计入当期损益，同时调整长期股权投资的成本。</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hint="eastAsia"/>
          <w:color w:val="000000"/>
          <w:sz w:val="21"/>
          <w:szCs w:val="21"/>
        </w:rPr>
        <w:t>因追加投资等原因能够对被投资单位施加重大影响或实施共同控制但不构成控制的，按照原持有的股权投资的公允价值加上新增投资成本之和，作为改按权益法核算的初始投资成本。原持有的股权投资分类为其他权益工具投资的，其公允价值与账面价值之间的差额，以及原计入其他综合收益的累计利得或损失应当在改按权益法核算的当期从其他综合收益中转出，计入留存收益。</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hint="eastAsia"/>
          <w:color w:val="000000"/>
          <w:sz w:val="21"/>
          <w:szCs w:val="21"/>
        </w:rPr>
        <w:t>本公司按照应享有或应分担的被投资单位实现的净损益和其他综合收益的份额，分别确认投资收益和其他综合收益，同时调整长期股权投资的账面价值，在确认应享有被投资单位净损益的份额时，以取</w:t>
      </w:r>
      <w:r w:rsidRPr="0094357B">
        <w:rPr>
          <w:rFonts w:cs="Times New Roman" w:hint="eastAsia"/>
          <w:color w:val="000000"/>
          <w:sz w:val="21"/>
          <w:szCs w:val="21"/>
        </w:rPr>
        <w:lastRenderedPageBreak/>
        <w:t>得投资时被投资单位各项可辨认资产的公允价值为基础，并按照本公司的会计政策及会计期间对被投资单位的净利润进行调整后确认。与被投资单位之间发生的未实现内部交易损益按照享有的比例计算归属于本公司的部分予以</w:t>
      </w:r>
      <w:proofErr w:type="gramStart"/>
      <w:r w:rsidRPr="0094357B">
        <w:rPr>
          <w:rFonts w:cs="Times New Roman" w:hint="eastAsia"/>
          <w:color w:val="000000"/>
          <w:sz w:val="21"/>
          <w:szCs w:val="21"/>
        </w:rPr>
        <w:t>抵销</w:t>
      </w:r>
      <w:proofErr w:type="gramEnd"/>
      <w:r w:rsidRPr="0094357B">
        <w:rPr>
          <w:rFonts w:cs="Times New Roman" w:hint="eastAsia"/>
          <w:color w:val="000000"/>
          <w:sz w:val="21"/>
          <w:szCs w:val="21"/>
        </w:rPr>
        <w:t>，在此基础上确认投资损益。本公司与被投资单位发生的未实现内部交易损失属于资产减值损失的，应全额确认。在确认被投资单位发生的净亏损，以长期股权投资的账面价值以及其他实质上构成对被投资单位净投资的长期权益</w:t>
      </w:r>
      <w:proofErr w:type="gramStart"/>
      <w:r w:rsidRPr="0094357B">
        <w:rPr>
          <w:rFonts w:cs="Times New Roman" w:hint="eastAsia"/>
          <w:color w:val="000000"/>
          <w:sz w:val="21"/>
          <w:szCs w:val="21"/>
        </w:rPr>
        <w:t>减记至</w:t>
      </w:r>
      <w:proofErr w:type="gramEnd"/>
      <w:r w:rsidRPr="0094357B">
        <w:rPr>
          <w:rFonts w:cs="Times New Roman" w:hint="eastAsia"/>
          <w:color w:val="000000"/>
          <w:sz w:val="21"/>
          <w:szCs w:val="21"/>
        </w:rPr>
        <w:t>零为限（公司负有承担额外损失义务的除外），被投资单位以后实现净利润的，公司在收益分享额弥补未确认的亏损分担额后，恢复确认收益分享额。</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hint="eastAsia"/>
          <w:color w:val="000000"/>
          <w:sz w:val="21"/>
          <w:szCs w:val="21"/>
        </w:rPr>
        <w:t>本公司按照被投资单位宣告分派的利润或现金股利计算应享有的部分，相应减少长期股权投资的账面价值；对于被投资单位除净损益、其他综合收益和利润分配以外所有者权益的其他变动，调整长期股权投资的账面价值并计入所有者权益。</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hint="eastAsia"/>
          <w:color w:val="000000"/>
          <w:sz w:val="21"/>
          <w:szCs w:val="21"/>
        </w:rPr>
        <w:t>③</w:t>
      </w:r>
      <w:r>
        <w:rPr>
          <w:rFonts w:cs="Times New Roman" w:hint="eastAsia"/>
          <w:color w:val="000000"/>
          <w:sz w:val="21"/>
          <w:szCs w:val="21"/>
        </w:rPr>
        <w:t>处置长期股权投资</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Pr>
          <w:rFonts w:cs="Times New Roman" w:hint="eastAsia"/>
          <w:color w:val="000000"/>
          <w:sz w:val="21"/>
          <w:szCs w:val="21"/>
        </w:rPr>
        <w:t>处置长期股权投资，其账面价值与实际取得价款之间的差额，计入当期损益。采用权益法核算的长期股权投资，采用与被投资单位直接处置相关资产或负债相同的基础，按相应比例将原计入其他综合收益的部分转入当期损益。</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hint="eastAsia"/>
          <w:color w:val="000000"/>
          <w:sz w:val="21"/>
          <w:szCs w:val="21"/>
        </w:rPr>
        <w:t>因处置部分股权投资等原因丧失了对被投资单位的共同控制或重大影响的，处置后的剩余股权在丧失共同控制或重大影响</w:t>
      </w:r>
      <w:proofErr w:type="gramStart"/>
      <w:r w:rsidRPr="0094357B">
        <w:rPr>
          <w:rFonts w:cs="Times New Roman" w:hint="eastAsia"/>
          <w:color w:val="000000"/>
          <w:sz w:val="21"/>
          <w:szCs w:val="21"/>
        </w:rPr>
        <w:t>之日改按</w:t>
      </w:r>
      <w:proofErr w:type="gramEnd"/>
      <w:r w:rsidRPr="0094357B">
        <w:rPr>
          <w:rFonts w:cs="Times New Roman" w:hint="eastAsia"/>
          <w:color w:val="000000"/>
          <w:sz w:val="21"/>
          <w:szCs w:val="21"/>
        </w:rPr>
        <w:t>《企业会计准则第22号——金融工具确认和计量》核算，公允价值与账面价值之间的差额计入当期损益。原股权投资因采用权益法核算而确认的其他综合收益，在终止采用权益法核算时采用与被投资单位直接处置相关资产或负债相同的基础进行会计处理。原股权投资相关的其他所有者权益变动转入当期损益。</w:t>
      </w:r>
    </w:p>
    <w:p w:rsidR="00A2119D" w:rsidRPr="0094357B" w:rsidRDefault="00A2119D" w:rsidP="0094357B">
      <w:pPr>
        <w:pStyle w:val="a3"/>
        <w:spacing w:before="0" w:beforeAutospacing="0" w:after="0" w:afterAutospacing="0" w:line="360" w:lineRule="auto"/>
        <w:ind w:firstLine="420"/>
        <w:jc w:val="both"/>
        <w:divId w:val="97719061"/>
        <w:rPr>
          <w:rFonts w:cs="Times New Roman"/>
          <w:color w:val="000000"/>
          <w:sz w:val="21"/>
          <w:szCs w:val="21"/>
        </w:rPr>
      </w:pPr>
      <w:r w:rsidRPr="0094357B">
        <w:rPr>
          <w:rFonts w:cs="Times New Roman" w:hint="eastAsia"/>
          <w:color w:val="000000"/>
          <w:sz w:val="21"/>
          <w:szCs w:val="21"/>
        </w:rPr>
        <w:t>因处置部分权益性投资等原因丧失了对被投资单位的控制的，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金融工具确认和计量》的有关规定进行会计处理，其在丧失控制之日的公允价值与账面价值间的差额计入当期损益。</w:t>
      </w:r>
    </w:p>
    <w:p w:rsidR="00A27D66" w:rsidRDefault="00A2119D">
      <w:pPr>
        <w:pStyle w:val="3"/>
        <w:spacing w:line="280" w:lineRule="exact"/>
        <w:jc w:val="left"/>
        <w:rPr>
          <w:rFonts w:ascii="宋体" w:hAnsi="宋体" w:cs="宋体"/>
          <w:b/>
          <w:bCs/>
        </w:rPr>
      </w:pPr>
      <w:bookmarkStart w:id="190" w:name="_Toc989074"/>
      <w:r>
        <w:rPr>
          <w:rFonts w:ascii="宋体" w:hAnsi="宋体" w:cs="宋体"/>
          <w:b/>
          <w:bCs/>
        </w:rPr>
        <w:t>23、投资性房地产</w:t>
      </w:r>
      <w:bookmarkEnd w:id="190"/>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投资性房地产计量模式</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成本法计量</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折旧或摊销方法</w:t>
      </w:r>
    </w:p>
    <w:p w:rsidR="00A2119D" w:rsidRPr="00C20B7B" w:rsidRDefault="00A2119D" w:rsidP="00C20B7B">
      <w:pPr>
        <w:pStyle w:val="a3"/>
        <w:spacing w:before="0" w:beforeAutospacing="0" w:after="0" w:afterAutospacing="0" w:line="360" w:lineRule="auto"/>
        <w:ind w:firstLine="420"/>
        <w:jc w:val="both"/>
        <w:divId w:val="365566635"/>
        <w:rPr>
          <w:rFonts w:cs="Times New Roman"/>
          <w:color w:val="000000"/>
          <w:sz w:val="21"/>
          <w:szCs w:val="21"/>
        </w:rPr>
      </w:pPr>
      <w:r>
        <w:rPr>
          <w:rFonts w:cs="Times New Roman" w:hint="eastAsia"/>
          <w:color w:val="000000"/>
          <w:sz w:val="21"/>
          <w:szCs w:val="21"/>
        </w:rPr>
        <w:t>投资性房地产是指为赚取租金或资本增值，或两者兼有而持有的房地产：包括已出租的土地使用权、持有并</w:t>
      </w:r>
      <w:proofErr w:type="gramStart"/>
      <w:r>
        <w:rPr>
          <w:rFonts w:cs="Times New Roman" w:hint="eastAsia"/>
          <w:color w:val="000000"/>
          <w:sz w:val="21"/>
          <w:szCs w:val="21"/>
        </w:rPr>
        <w:t>准备增值</w:t>
      </w:r>
      <w:proofErr w:type="gramEnd"/>
      <w:r>
        <w:rPr>
          <w:rFonts w:cs="Times New Roman" w:hint="eastAsia"/>
          <w:color w:val="000000"/>
          <w:sz w:val="21"/>
          <w:szCs w:val="21"/>
        </w:rPr>
        <w:t>后转让的土地使用权、已出租的建筑物等。此外，对于本公司持有以备经营出租的空置</w:t>
      </w:r>
      <w:r>
        <w:rPr>
          <w:rFonts w:cs="Times New Roman" w:hint="eastAsia"/>
          <w:color w:val="000000"/>
          <w:sz w:val="21"/>
          <w:szCs w:val="21"/>
        </w:rPr>
        <w:lastRenderedPageBreak/>
        <w:t>建筑物，若董事会（或类似机构）</w:t>
      </w:r>
      <w:proofErr w:type="gramStart"/>
      <w:r>
        <w:rPr>
          <w:rFonts w:cs="Times New Roman" w:hint="eastAsia"/>
          <w:color w:val="000000"/>
          <w:sz w:val="21"/>
          <w:szCs w:val="21"/>
        </w:rPr>
        <w:t>作出</w:t>
      </w:r>
      <w:proofErr w:type="gramEnd"/>
      <w:r>
        <w:rPr>
          <w:rFonts w:cs="Times New Roman" w:hint="eastAsia"/>
          <w:color w:val="000000"/>
          <w:sz w:val="21"/>
          <w:szCs w:val="21"/>
        </w:rPr>
        <w:t>书面决议，明确表示将其用于经营出租且持有意图短期内不再发生变化的，也作为投资性房地产列报。</w:t>
      </w:r>
    </w:p>
    <w:p w:rsidR="00C20B7B" w:rsidRDefault="00A2119D" w:rsidP="00C20B7B">
      <w:pPr>
        <w:pStyle w:val="a3"/>
        <w:spacing w:before="0" w:beforeAutospacing="0" w:after="0" w:afterAutospacing="0" w:line="360" w:lineRule="auto"/>
        <w:ind w:firstLine="420"/>
        <w:jc w:val="both"/>
        <w:rPr>
          <w:rFonts w:cs="Times New Roman"/>
          <w:color w:val="000000"/>
          <w:sz w:val="21"/>
          <w:szCs w:val="21"/>
        </w:rPr>
      </w:pPr>
      <w:r>
        <w:rPr>
          <w:rFonts w:cs="Times New Roman" w:hint="eastAsia"/>
          <w:color w:val="000000"/>
          <w:sz w:val="21"/>
          <w:szCs w:val="21"/>
        </w:rPr>
        <w:t>本公司对投资性房地产按成本进行初始计量，采用成本模式进行后续计量，按照固定资产或无形资产的会计政策，计提折旧或进行摊销。投资性房地产减值测试方法及减值准备计提方法详见本财务报表</w:t>
      </w:r>
      <w:r w:rsidRPr="00C20B7B">
        <w:rPr>
          <w:rFonts w:cs="Times New Roman" w:hint="eastAsia"/>
          <w:color w:val="000000"/>
          <w:sz w:val="21"/>
          <w:szCs w:val="21"/>
        </w:rPr>
        <w:t>附注五、3</w:t>
      </w:r>
      <w:r w:rsidRPr="00C20B7B">
        <w:rPr>
          <w:rFonts w:cs="Times New Roman"/>
          <w:color w:val="000000"/>
          <w:sz w:val="21"/>
          <w:szCs w:val="21"/>
        </w:rPr>
        <w:t>0</w:t>
      </w:r>
      <w:r w:rsidRPr="00C20B7B">
        <w:rPr>
          <w:rFonts w:cs="Times New Roman" w:hint="eastAsia"/>
          <w:color w:val="000000"/>
          <w:sz w:val="21"/>
          <w:szCs w:val="21"/>
        </w:rPr>
        <w:t>、长期资产减值</w:t>
      </w:r>
      <w:r>
        <w:rPr>
          <w:rFonts w:cs="Times New Roman" w:hint="eastAsia"/>
          <w:color w:val="000000"/>
          <w:sz w:val="21"/>
          <w:szCs w:val="21"/>
        </w:rPr>
        <w:t>。</w:t>
      </w:r>
      <w:bookmarkStart w:id="191" w:name="_Toc989075"/>
    </w:p>
    <w:p w:rsidR="00C20B7B" w:rsidRPr="00C20B7B" w:rsidRDefault="00A2119D" w:rsidP="00C20B7B">
      <w:pPr>
        <w:pStyle w:val="3"/>
        <w:spacing w:line="280" w:lineRule="exact"/>
        <w:jc w:val="left"/>
        <w:rPr>
          <w:rFonts w:ascii="宋体" w:hAnsi="宋体" w:cs="宋体"/>
          <w:b/>
          <w:bCs/>
        </w:rPr>
      </w:pPr>
      <w:r>
        <w:rPr>
          <w:rFonts w:ascii="宋体" w:hAnsi="宋体" w:cs="宋体"/>
          <w:b/>
          <w:bCs/>
        </w:rPr>
        <w:t>24、固定资产</w:t>
      </w:r>
      <w:bookmarkStart w:id="192" w:name="_Toc989076"/>
      <w:bookmarkEnd w:id="191"/>
    </w:p>
    <w:p w:rsidR="00C20B7B" w:rsidRDefault="00A2119D" w:rsidP="00C20B7B">
      <w:pPr>
        <w:keepNext/>
        <w:keepLines/>
        <w:spacing w:before="300" w:after="300" w:line="280" w:lineRule="exact"/>
        <w:outlineLvl w:val="3"/>
        <w:divId w:val="539780839"/>
        <w:rPr>
          <w:b/>
          <w:bCs/>
          <w:szCs w:val="21"/>
        </w:rPr>
      </w:pPr>
      <w:r>
        <w:rPr>
          <w:rFonts w:ascii="宋体" w:eastAsia="宋体" w:hAnsi="宋体" w:cs="宋体"/>
          <w:b/>
          <w:bCs/>
          <w:szCs w:val="21"/>
        </w:rPr>
        <w:t>（1） 确认条件</w:t>
      </w:r>
      <w:bookmarkEnd w:id="192"/>
    </w:p>
    <w:p w:rsidR="00A2119D" w:rsidRPr="00C20B7B" w:rsidRDefault="00A2119D" w:rsidP="00C20B7B">
      <w:pPr>
        <w:pStyle w:val="a3"/>
        <w:spacing w:before="0" w:beforeAutospacing="0" w:after="0" w:afterAutospacing="0" w:line="360" w:lineRule="auto"/>
        <w:ind w:firstLine="420"/>
        <w:jc w:val="both"/>
        <w:divId w:val="539780839"/>
        <w:rPr>
          <w:rFonts w:cs="Times New Roman"/>
          <w:color w:val="000000"/>
          <w:sz w:val="21"/>
          <w:szCs w:val="21"/>
        </w:rPr>
      </w:pPr>
      <w:r w:rsidRPr="00C20B7B">
        <w:rPr>
          <w:rFonts w:cs="Times New Roman" w:hint="eastAsia"/>
          <w:color w:val="000000"/>
          <w:sz w:val="21"/>
          <w:szCs w:val="21"/>
        </w:rPr>
        <w:t>本公司固定资产是指使用寿命超过一个会计年度的为生产商品、提供劳务、出租或经营管理而持有的有形资产。固定资产的确认条件：①该固定资产包含的经济利益很可能流入企业；②该固定资产的成本能够可靠计量。</w:t>
      </w:r>
    </w:p>
    <w:p w:rsidR="00A2119D" w:rsidRPr="00C20B7B" w:rsidRDefault="00A2119D" w:rsidP="00C20B7B">
      <w:pPr>
        <w:pStyle w:val="a3"/>
        <w:spacing w:before="0" w:beforeAutospacing="0" w:after="0" w:afterAutospacing="0" w:line="360" w:lineRule="auto"/>
        <w:ind w:firstLine="420"/>
        <w:jc w:val="both"/>
        <w:divId w:val="539780839"/>
        <w:rPr>
          <w:rFonts w:cs="Times New Roman"/>
          <w:color w:val="000000"/>
          <w:sz w:val="21"/>
          <w:szCs w:val="21"/>
        </w:rPr>
      </w:pPr>
      <w:r w:rsidRPr="00C20B7B">
        <w:rPr>
          <w:rFonts w:cs="Times New Roman" w:hint="eastAsia"/>
          <w:color w:val="000000"/>
          <w:sz w:val="21"/>
          <w:szCs w:val="21"/>
        </w:rPr>
        <w:t>本公司固定资产按照取得时的实际成本进行初始计量。与固定资产有关的后续支出，在与其有关的经济利益很可能流入本公司且其成本能够可靠计量时，计入固定资产成本；不符合固定资产资本化后续支出条件的固定资产日常修理费用，在发生时按照受益对象计入当期损益或计入相关资产的成本。对于被替换的部分，终止确认其账面价值。</w:t>
      </w:r>
    </w:p>
    <w:p w:rsidR="00A27D66" w:rsidRDefault="00A2119D">
      <w:pPr>
        <w:keepNext/>
        <w:keepLines/>
        <w:spacing w:before="300" w:after="300" w:line="280" w:lineRule="exact"/>
        <w:outlineLvl w:val="3"/>
        <w:rPr>
          <w:rFonts w:ascii="宋体" w:eastAsia="宋体" w:hAnsi="宋体" w:cs="宋体"/>
          <w:b/>
          <w:bCs/>
          <w:szCs w:val="21"/>
        </w:rPr>
      </w:pPr>
      <w:bookmarkStart w:id="193" w:name="_Toc989077"/>
      <w:r>
        <w:rPr>
          <w:rFonts w:ascii="宋体" w:eastAsia="宋体" w:hAnsi="宋体" w:cs="宋体"/>
          <w:b/>
          <w:bCs/>
          <w:szCs w:val="21"/>
        </w:rPr>
        <w:t>（2） 折旧方法</w:t>
      </w:r>
      <w:bookmarkEnd w:id="19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rsidTr="00C20B7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年折旧率</w:t>
            </w:r>
          </w:p>
        </w:tc>
      </w:tr>
      <w:tr w:rsidR="00A27D66" w:rsidTr="00C20B7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房屋建筑物</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20-50年</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5.00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1.90-4.75</w:t>
            </w:r>
          </w:p>
        </w:tc>
      </w:tr>
      <w:tr w:rsidR="00A27D66" w:rsidTr="00C20B7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机械设备</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3-15年</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5.00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6.33-31.67</w:t>
            </w:r>
          </w:p>
        </w:tc>
      </w:tr>
      <w:tr w:rsidR="00A27D66" w:rsidTr="00C20B7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4-10年</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5.00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9.50-23.75</w:t>
            </w:r>
          </w:p>
        </w:tc>
      </w:tr>
      <w:tr w:rsidR="00A27D66" w:rsidTr="00C20B7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电子设备</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3-5年</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5.00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19.00-31.67</w:t>
            </w:r>
          </w:p>
        </w:tc>
      </w:tr>
      <w:tr w:rsidR="00A27D66" w:rsidTr="00C20B7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其他设备</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3-5年</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5.00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19.00-31.67</w:t>
            </w:r>
          </w:p>
        </w:tc>
      </w:tr>
    </w:tbl>
    <w:p w:rsidR="00A2119D" w:rsidRPr="00C20B7B" w:rsidRDefault="00A2119D" w:rsidP="00C20B7B">
      <w:pPr>
        <w:pStyle w:val="a3"/>
        <w:spacing w:before="0" w:beforeAutospacing="0" w:after="0" w:afterAutospacing="0" w:line="360" w:lineRule="auto"/>
        <w:ind w:firstLine="420"/>
        <w:jc w:val="both"/>
        <w:divId w:val="1645232261"/>
        <w:rPr>
          <w:rFonts w:cs="Times New Roman"/>
          <w:color w:val="000000"/>
          <w:sz w:val="21"/>
          <w:szCs w:val="21"/>
        </w:rPr>
      </w:pPr>
      <w:r>
        <w:rPr>
          <w:rFonts w:cs="Times New Roman" w:hint="eastAsia"/>
          <w:color w:val="000000"/>
          <w:sz w:val="21"/>
          <w:szCs w:val="21"/>
        </w:rPr>
        <w:t>本公司的固定资产分为：房屋建筑物、机械设备、运输设备、电子设备及其他。</w:t>
      </w:r>
    </w:p>
    <w:p w:rsidR="00A2119D" w:rsidRPr="00C20B7B" w:rsidRDefault="00A2119D" w:rsidP="00C20B7B">
      <w:pPr>
        <w:pStyle w:val="a3"/>
        <w:spacing w:before="0" w:beforeAutospacing="0" w:after="0" w:afterAutospacing="0" w:line="360" w:lineRule="auto"/>
        <w:ind w:firstLine="420"/>
        <w:jc w:val="both"/>
        <w:divId w:val="1645232261"/>
        <w:rPr>
          <w:rFonts w:cs="Times New Roman"/>
          <w:color w:val="000000"/>
          <w:sz w:val="21"/>
          <w:szCs w:val="21"/>
        </w:rPr>
      </w:pPr>
      <w:r>
        <w:rPr>
          <w:rFonts w:cs="Times New Roman" w:hint="eastAsia"/>
          <w:color w:val="000000"/>
          <w:sz w:val="21"/>
          <w:szCs w:val="21"/>
        </w:rPr>
        <w:t>本公司折旧采用年限平均法计提折旧。固定资产</w:t>
      </w:r>
      <w:proofErr w:type="gramStart"/>
      <w:r>
        <w:rPr>
          <w:rFonts w:cs="Times New Roman" w:hint="eastAsia"/>
          <w:color w:val="000000"/>
          <w:sz w:val="21"/>
          <w:szCs w:val="21"/>
        </w:rPr>
        <w:t>自达到</w:t>
      </w:r>
      <w:proofErr w:type="gramEnd"/>
      <w:r>
        <w:rPr>
          <w:rFonts w:cs="Times New Roman" w:hint="eastAsia"/>
          <w:color w:val="000000"/>
          <w:sz w:val="21"/>
          <w:szCs w:val="21"/>
        </w:rPr>
        <w:t>预定可使用状态次月开始计提折旧，终止确认时或划分为持有待售非流动资产时停止计提折旧。对计提了减值准备的固定资产，在未来期间按扣除减值准备后的账面价值及依据尚可使用年限确定折旧额。</w:t>
      </w:r>
    </w:p>
    <w:p w:rsidR="00A27D66" w:rsidRDefault="00A2119D">
      <w:pPr>
        <w:pStyle w:val="3"/>
        <w:spacing w:line="280" w:lineRule="exact"/>
        <w:jc w:val="left"/>
        <w:rPr>
          <w:rFonts w:ascii="宋体" w:hAnsi="宋体" w:cs="宋体"/>
          <w:b/>
          <w:bCs/>
        </w:rPr>
      </w:pPr>
      <w:bookmarkStart w:id="194" w:name="_Toc989078"/>
      <w:r>
        <w:rPr>
          <w:rFonts w:ascii="宋体" w:hAnsi="宋体" w:cs="宋体"/>
          <w:b/>
          <w:bCs/>
        </w:rPr>
        <w:t>25、在建工程</w:t>
      </w:r>
      <w:bookmarkEnd w:id="194"/>
    </w:p>
    <w:p w:rsidR="00A2119D" w:rsidRPr="00C20B7B" w:rsidRDefault="00A2119D" w:rsidP="00C20B7B">
      <w:pPr>
        <w:pStyle w:val="a3"/>
        <w:spacing w:before="0" w:beforeAutospacing="0" w:after="0" w:afterAutospacing="0" w:line="360" w:lineRule="auto"/>
        <w:ind w:firstLine="420"/>
        <w:jc w:val="both"/>
        <w:divId w:val="548733542"/>
        <w:rPr>
          <w:rFonts w:cs="Times New Roman"/>
          <w:color w:val="000000"/>
          <w:sz w:val="21"/>
          <w:szCs w:val="21"/>
        </w:rPr>
      </w:pPr>
      <w:r>
        <w:rPr>
          <w:rFonts w:cs="Times New Roman" w:hint="eastAsia"/>
          <w:color w:val="000000"/>
          <w:sz w:val="21"/>
          <w:szCs w:val="21"/>
        </w:rPr>
        <w:t>（</w:t>
      </w:r>
      <w:r w:rsidRPr="00C20B7B">
        <w:rPr>
          <w:rFonts w:cs="Times New Roman"/>
          <w:color w:val="000000"/>
          <w:sz w:val="21"/>
          <w:szCs w:val="21"/>
        </w:rPr>
        <w:t>1</w:t>
      </w:r>
      <w:r>
        <w:rPr>
          <w:rFonts w:cs="Times New Roman" w:hint="eastAsia"/>
          <w:color w:val="000000"/>
          <w:sz w:val="21"/>
          <w:szCs w:val="21"/>
        </w:rPr>
        <w:t>）在建工程的分类：</w:t>
      </w:r>
    </w:p>
    <w:p w:rsidR="00A2119D" w:rsidRPr="00C20B7B" w:rsidRDefault="00A2119D" w:rsidP="00C20B7B">
      <w:pPr>
        <w:pStyle w:val="a3"/>
        <w:spacing w:before="0" w:beforeAutospacing="0" w:after="0" w:afterAutospacing="0" w:line="360" w:lineRule="auto"/>
        <w:ind w:firstLine="420"/>
        <w:jc w:val="both"/>
        <w:divId w:val="548733542"/>
        <w:rPr>
          <w:rFonts w:cs="Times New Roman"/>
          <w:color w:val="000000"/>
          <w:sz w:val="21"/>
          <w:szCs w:val="21"/>
        </w:rPr>
      </w:pPr>
      <w:r>
        <w:rPr>
          <w:rFonts w:cs="Times New Roman" w:hint="eastAsia"/>
          <w:color w:val="000000"/>
          <w:sz w:val="21"/>
          <w:szCs w:val="21"/>
        </w:rPr>
        <w:t>在建工程以立项项目分类核算。</w:t>
      </w:r>
    </w:p>
    <w:p w:rsidR="00A2119D" w:rsidRPr="00C20B7B" w:rsidRDefault="00A2119D" w:rsidP="00C20B7B">
      <w:pPr>
        <w:pStyle w:val="a3"/>
        <w:spacing w:before="0" w:beforeAutospacing="0" w:after="0" w:afterAutospacing="0" w:line="360" w:lineRule="auto"/>
        <w:ind w:firstLine="420"/>
        <w:jc w:val="both"/>
        <w:divId w:val="548733542"/>
        <w:rPr>
          <w:rFonts w:cs="Times New Roman"/>
          <w:color w:val="000000"/>
          <w:sz w:val="21"/>
          <w:szCs w:val="21"/>
        </w:rPr>
      </w:pPr>
      <w:r>
        <w:rPr>
          <w:rFonts w:cs="Times New Roman" w:hint="eastAsia"/>
          <w:color w:val="000000"/>
          <w:sz w:val="21"/>
          <w:szCs w:val="21"/>
        </w:rPr>
        <w:t>（</w:t>
      </w:r>
      <w:r w:rsidRPr="00C20B7B">
        <w:rPr>
          <w:rFonts w:cs="Times New Roman"/>
          <w:color w:val="000000"/>
          <w:sz w:val="21"/>
          <w:szCs w:val="21"/>
        </w:rPr>
        <w:t>2</w:t>
      </w:r>
      <w:r>
        <w:rPr>
          <w:rFonts w:cs="Times New Roman" w:hint="eastAsia"/>
          <w:color w:val="000000"/>
          <w:sz w:val="21"/>
          <w:szCs w:val="21"/>
        </w:rPr>
        <w:t>）在建工程结转为固定资产的标准和时点：</w:t>
      </w:r>
    </w:p>
    <w:p w:rsidR="00A2119D" w:rsidRPr="00C20B7B" w:rsidRDefault="00A2119D" w:rsidP="00C20B7B">
      <w:pPr>
        <w:pStyle w:val="a3"/>
        <w:spacing w:before="0" w:beforeAutospacing="0" w:after="0" w:afterAutospacing="0" w:line="360" w:lineRule="auto"/>
        <w:ind w:firstLine="420"/>
        <w:jc w:val="both"/>
        <w:divId w:val="548733542"/>
        <w:rPr>
          <w:rFonts w:cs="Times New Roman"/>
          <w:color w:val="000000"/>
          <w:sz w:val="21"/>
          <w:szCs w:val="21"/>
        </w:rPr>
      </w:pPr>
      <w:r>
        <w:rPr>
          <w:rFonts w:cs="Times New Roman" w:hint="eastAsia"/>
          <w:color w:val="000000"/>
          <w:sz w:val="21"/>
          <w:szCs w:val="21"/>
        </w:rPr>
        <w:lastRenderedPageBreak/>
        <w:t>在建工程按各项工程所发生的实际支出核算，在达到预定可使用状态时转作固定资产。所建造的固定资产已达到预定可使用状态，但尚未办理竣工决算手续的，</w:t>
      </w:r>
      <w:proofErr w:type="gramStart"/>
      <w:r>
        <w:rPr>
          <w:rFonts w:cs="Times New Roman" w:hint="eastAsia"/>
          <w:color w:val="000000"/>
          <w:sz w:val="21"/>
          <w:szCs w:val="21"/>
        </w:rPr>
        <w:t>自达到</w:t>
      </w:r>
      <w:proofErr w:type="gramEnd"/>
      <w:r>
        <w:rPr>
          <w:rFonts w:cs="Times New Roman" w:hint="eastAsia"/>
          <w:color w:val="000000"/>
          <w:sz w:val="21"/>
          <w:szCs w:val="21"/>
        </w:rPr>
        <w:t>预定可使用状态之日起，根据工程预算、造价或者工程实际成本等，按估计的价值转入固定资产，并计提固定资产的折旧，待办理了竣工决算手续后再对原估计值进行调整。</w:t>
      </w:r>
    </w:p>
    <w:p w:rsidR="00A2119D" w:rsidRPr="00C20B7B" w:rsidRDefault="00A2119D" w:rsidP="00C20B7B">
      <w:pPr>
        <w:pStyle w:val="a3"/>
        <w:spacing w:before="0" w:beforeAutospacing="0" w:after="0" w:afterAutospacing="0" w:line="360" w:lineRule="auto"/>
        <w:ind w:firstLine="420"/>
        <w:jc w:val="both"/>
        <w:divId w:val="548733542"/>
        <w:rPr>
          <w:rFonts w:cs="Times New Roman"/>
          <w:color w:val="000000"/>
          <w:sz w:val="21"/>
          <w:szCs w:val="21"/>
        </w:rPr>
      </w:pPr>
      <w:r>
        <w:rPr>
          <w:rFonts w:cs="Times New Roman" w:hint="eastAsia"/>
          <w:color w:val="000000"/>
          <w:sz w:val="21"/>
          <w:szCs w:val="21"/>
        </w:rPr>
        <w:t>各类别在建工程具体</w:t>
      </w:r>
      <w:proofErr w:type="gramStart"/>
      <w:r>
        <w:rPr>
          <w:rFonts w:cs="Times New Roman" w:hint="eastAsia"/>
          <w:color w:val="000000"/>
          <w:sz w:val="21"/>
          <w:szCs w:val="21"/>
        </w:rPr>
        <w:t>转固标准</w:t>
      </w:r>
      <w:proofErr w:type="gramEnd"/>
      <w:r>
        <w:rPr>
          <w:rFonts w:cs="Times New Roman" w:hint="eastAsia"/>
          <w:color w:val="000000"/>
          <w:sz w:val="21"/>
          <w:szCs w:val="21"/>
        </w:rPr>
        <w:t>和时点</w:t>
      </w:r>
      <w:r w:rsidRPr="00C20B7B">
        <w:rPr>
          <w:rFonts w:cs="Times New Roman"/>
          <w:color w:val="000000"/>
          <w:sz w:val="21"/>
          <w:szCs w:val="21"/>
        </w:rPr>
        <w: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394"/>
        <w:gridCol w:w="6757"/>
      </w:tblGrid>
      <w:tr w:rsidR="00A2119D" w:rsidRPr="00C20B7B" w:rsidTr="00C20B7B">
        <w:trPr>
          <w:divId w:val="548733542"/>
          <w:trHeight w:val="340"/>
          <w:jc w:val="center"/>
        </w:trPr>
        <w:tc>
          <w:tcPr>
            <w:tcW w:w="2394" w:type="dxa"/>
            <w:tcMar>
              <w:top w:w="28" w:type="dxa"/>
              <w:left w:w="108" w:type="dxa"/>
              <w:bottom w:w="28" w:type="dxa"/>
              <w:right w:w="108" w:type="dxa"/>
            </w:tcMar>
            <w:vAlign w:val="center"/>
            <w:hideMark/>
          </w:tcPr>
          <w:p w:rsidR="00A2119D" w:rsidRPr="00C20B7B" w:rsidRDefault="00A2119D" w:rsidP="00C20B7B">
            <w:pPr>
              <w:pStyle w:val="a3"/>
              <w:spacing w:before="0" w:beforeAutospacing="0" w:after="0" w:afterAutospacing="0" w:line="260" w:lineRule="atLeast"/>
              <w:jc w:val="center"/>
              <w:rPr>
                <w:rFonts w:cs="Times New Roman"/>
                <w:sz w:val="18"/>
                <w:szCs w:val="18"/>
              </w:rPr>
            </w:pPr>
            <w:r w:rsidRPr="00C20B7B">
              <w:rPr>
                <w:rFonts w:cs="Times New Roman" w:hint="eastAsia"/>
                <w:snapToGrid w:val="0"/>
                <w:color w:val="000000"/>
                <w:sz w:val="18"/>
                <w:szCs w:val="18"/>
              </w:rPr>
              <w:t>类别</w:t>
            </w:r>
          </w:p>
        </w:tc>
        <w:tc>
          <w:tcPr>
            <w:tcW w:w="6757" w:type="dxa"/>
            <w:tcMar>
              <w:top w:w="28" w:type="dxa"/>
              <w:left w:w="108" w:type="dxa"/>
              <w:bottom w:w="28" w:type="dxa"/>
              <w:right w:w="108" w:type="dxa"/>
            </w:tcMar>
            <w:vAlign w:val="center"/>
            <w:hideMark/>
          </w:tcPr>
          <w:p w:rsidR="00A2119D" w:rsidRPr="00C20B7B" w:rsidRDefault="00A2119D" w:rsidP="00C20B7B">
            <w:pPr>
              <w:pStyle w:val="a3"/>
              <w:spacing w:before="0" w:beforeAutospacing="0" w:after="0" w:afterAutospacing="0" w:line="260" w:lineRule="atLeast"/>
              <w:jc w:val="center"/>
              <w:rPr>
                <w:rFonts w:cs="Times New Roman"/>
                <w:sz w:val="18"/>
                <w:szCs w:val="18"/>
              </w:rPr>
            </w:pPr>
            <w:proofErr w:type="gramStart"/>
            <w:r w:rsidRPr="00C20B7B">
              <w:rPr>
                <w:rFonts w:cs="Times New Roman" w:hint="eastAsia"/>
                <w:snapToGrid w:val="0"/>
                <w:color w:val="000000"/>
                <w:sz w:val="18"/>
                <w:szCs w:val="18"/>
              </w:rPr>
              <w:t>转固标准</w:t>
            </w:r>
            <w:proofErr w:type="gramEnd"/>
            <w:r w:rsidRPr="00C20B7B">
              <w:rPr>
                <w:rFonts w:cs="Times New Roman" w:hint="eastAsia"/>
                <w:snapToGrid w:val="0"/>
                <w:color w:val="000000"/>
                <w:sz w:val="18"/>
                <w:szCs w:val="18"/>
              </w:rPr>
              <w:t>和时点</w:t>
            </w:r>
          </w:p>
        </w:tc>
      </w:tr>
      <w:tr w:rsidR="00A2119D" w:rsidRPr="00C20B7B" w:rsidTr="00BD37D5">
        <w:trPr>
          <w:divId w:val="548733542"/>
          <w:trHeight w:val="1087"/>
          <w:jc w:val="center"/>
        </w:trPr>
        <w:tc>
          <w:tcPr>
            <w:tcW w:w="2394" w:type="dxa"/>
            <w:tcMar>
              <w:top w:w="28" w:type="dxa"/>
              <w:left w:w="108" w:type="dxa"/>
              <w:bottom w:w="28" w:type="dxa"/>
              <w:right w:w="108" w:type="dxa"/>
            </w:tcMar>
            <w:vAlign w:val="center"/>
            <w:hideMark/>
          </w:tcPr>
          <w:p w:rsidR="00A2119D" w:rsidRPr="00C20B7B" w:rsidRDefault="00A2119D">
            <w:pPr>
              <w:pStyle w:val="a3"/>
              <w:spacing w:before="0" w:beforeAutospacing="0" w:after="0" w:afterAutospacing="0" w:line="260" w:lineRule="atLeast"/>
              <w:jc w:val="both"/>
              <w:rPr>
                <w:rFonts w:cs="Times New Roman"/>
                <w:sz w:val="18"/>
                <w:szCs w:val="18"/>
              </w:rPr>
            </w:pPr>
            <w:r w:rsidRPr="00C20B7B">
              <w:rPr>
                <w:rFonts w:cs="Times New Roman" w:hint="eastAsia"/>
                <w:snapToGrid w:val="0"/>
                <w:color w:val="000000"/>
                <w:sz w:val="18"/>
                <w:szCs w:val="18"/>
              </w:rPr>
              <w:t>房屋建筑物</w:t>
            </w:r>
          </w:p>
        </w:tc>
        <w:tc>
          <w:tcPr>
            <w:tcW w:w="6757" w:type="dxa"/>
            <w:tcMar>
              <w:top w:w="28" w:type="dxa"/>
              <w:left w:w="108" w:type="dxa"/>
              <w:bottom w:w="28" w:type="dxa"/>
              <w:right w:w="108" w:type="dxa"/>
            </w:tcMar>
            <w:vAlign w:val="center"/>
            <w:hideMark/>
          </w:tcPr>
          <w:p w:rsidR="00A2119D" w:rsidRPr="00C20B7B" w:rsidRDefault="00A2119D">
            <w:pPr>
              <w:pStyle w:val="a3"/>
              <w:spacing w:before="0" w:beforeAutospacing="0" w:after="0" w:afterAutospacing="0" w:line="260" w:lineRule="atLeast"/>
              <w:rPr>
                <w:rFonts w:cs="Times New Roman"/>
                <w:sz w:val="18"/>
                <w:szCs w:val="18"/>
              </w:rPr>
            </w:pPr>
            <w:r w:rsidRPr="00C20B7B">
              <w:rPr>
                <w:rFonts w:cs="Times New Roman" w:hint="eastAsia"/>
                <w:color w:val="000000"/>
                <w:sz w:val="18"/>
                <w:szCs w:val="18"/>
              </w:rPr>
              <w:t>（</w:t>
            </w:r>
            <w:r w:rsidRPr="00C20B7B">
              <w:rPr>
                <w:rFonts w:cs="Times New Roman"/>
                <w:color w:val="000000"/>
                <w:sz w:val="18"/>
                <w:szCs w:val="18"/>
              </w:rPr>
              <w:t>1</w:t>
            </w:r>
            <w:r w:rsidRPr="00C20B7B">
              <w:rPr>
                <w:rFonts w:cs="Times New Roman" w:hint="eastAsia"/>
                <w:color w:val="000000"/>
                <w:sz w:val="18"/>
                <w:szCs w:val="18"/>
              </w:rPr>
              <w:t>）主体建设工程及配套工程已实质上完工；（</w:t>
            </w:r>
            <w:r w:rsidRPr="00C20B7B">
              <w:rPr>
                <w:rFonts w:cs="Times New Roman"/>
                <w:color w:val="000000"/>
                <w:sz w:val="18"/>
                <w:szCs w:val="18"/>
              </w:rPr>
              <w:t>2</w:t>
            </w:r>
            <w:r w:rsidRPr="00C20B7B">
              <w:rPr>
                <w:rFonts w:cs="Times New Roman" w:hint="eastAsia"/>
                <w:color w:val="000000"/>
                <w:sz w:val="18"/>
                <w:szCs w:val="18"/>
              </w:rPr>
              <w:t>）建造工程在达到预定设计要求，经勘察、设计、施工、监理等单位完成验收；（</w:t>
            </w:r>
            <w:r w:rsidRPr="00C20B7B">
              <w:rPr>
                <w:rFonts w:cs="Times New Roman"/>
                <w:color w:val="000000"/>
                <w:sz w:val="18"/>
                <w:szCs w:val="18"/>
              </w:rPr>
              <w:t>3</w:t>
            </w:r>
            <w:r w:rsidRPr="00C20B7B">
              <w:rPr>
                <w:rFonts w:cs="Times New Roman" w:hint="eastAsia"/>
                <w:color w:val="000000"/>
                <w:sz w:val="18"/>
                <w:szCs w:val="18"/>
              </w:rPr>
              <w:t>）经消防、国土、规划等外部部门验收；（</w:t>
            </w:r>
            <w:r w:rsidRPr="00C20B7B">
              <w:rPr>
                <w:rFonts w:cs="Times New Roman"/>
                <w:color w:val="000000"/>
                <w:sz w:val="18"/>
                <w:szCs w:val="18"/>
              </w:rPr>
              <w:t>4</w:t>
            </w:r>
            <w:r w:rsidRPr="00C20B7B">
              <w:rPr>
                <w:rFonts w:cs="Times New Roman" w:hint="eastAsia"/>
                <w:color w:val="000000"/>
                <w:sz w:val="18"/>
                <w:szCs w:val="18"/>
              </w:rPr>
              <w:t>）建设工程达到预定可使用状态但尚未办理竣工决算的，</w:t>
            </w:r>
            <w:proofErr w:type="gramStart"/>
            <w:r w:rsidRPr="00C20B7B">
              <w:rPr>
                <w:rFonts w:cs="Times New Roman" w:hint="eastAsia"/>
                <w:color w:val="000000"/>
                <w:sz w:val="18"/>
                <w:szCs w:val="18"/>
              </w:rPr>
              <w:t>自达到</w:t>
            </w:r>
            <w:proofErr w:type="gramEnd"/>
            <w:r w:rsidRPr="00C20B7B">
              <w:rPr>
                <w:rFonts w:cs="Times New Roman" w:hint="eastAsia"/>
                <w:color w:val="000000"/>
                <w:sz w:val="18"/>
                <w:szCs w:val="18"/>
              </w:rPr>
              <w:t>预定可使用状态之日起，根据工程实际造价按预估价值转入固定资产。</w:t>
            </w:r>
          </w:p>
        </w:tc>
      </w:tr>
      <w:tr w:rsidR="00A2119D" w:rsidRPr="00C20B7B" w:rsidTr="00C20B7B">
        <w:trPr>
          <w:divId w:val="548733542"/>
          <w:trHeight w:val="1102"/>
          <w:jc w:val="center"/>
        </w:trPr>
        <w:tc>
          <w:tcPr>
            <w:tcW w:w="2394" w:type="dxa"/>
            <w:tcMar>
              <w:top w:w="28" w:type="dxa"/>
              <w:left w:w="108" w:type="dxa"/>
              <w:bottom w:w="28" w:type="dxa"/>
              <w:right w:w="108" w:type="dxa"/>
            </w:tcMar>
            <w:vAlign w:val="center"/>
            <w:hideMark/>
          </w:tcPr>
          <w:p w:rsidR="00A2119D" w:rsidRPr="00C20B7B" w:rsidRDefault="00A2119D">
            <w:pPr>
              <w:pStyle w:val="a3"/>
              <w:spacing w:before="0" w:beforeAutospacing="0" w:after="0" w:afterAutospacing="0" w:line="260" w:lineRule="atLeast"/>
              <w:jc w:val="both"/>
              <w:rPr>
                <w:rFonts w:cs="Times New Roman"/>
                <w:sz w:val="18"/>
                <w:szCs w:val="18"/>
              </w:rPr>
            </w:pPr>
            <w:r w:rsidRPr="00C20B7B">
              <w:rPr>
                <w:rFonts w:cs="Times New Roman" w:hint="eastAsia"/>
                <w:snapToGrid w:val="0"/>
                <w:color w:val="000000"/>
                <w:sz w:val="18"/>
                <w:szCs w:val="18"/>
              </w:rPr>
              <w:t>需安装调试的机器设备</w:t>
            </w:r>
          </w:p>
        </w:tc>
        <w:tc>
          <w:tcPr>
            <w:tcW w:w="6757" w:type="dxa"/>
            <w:tcMar>
              <w:top w:w="28" w:type="dxa"/>
              <w:left w:w="108" w:type="dxa"/>
              <w:bottom w:w="28" w:type="dxa"/>
              <w:right w:w="108" w:type="dxa"/>
            </w:tcMar>
            <w:vAlign w:val="center"/>
            <w:hideMark/>
          </w:tcPr>
          <w:p w:rsidR="00A2119D" w:rsidRPr="00C20B7B" w:rsidRDefault="00A2119D">
            <w:pPr>
              <w:pStyle w:val="a3"/>
              <w:spacing w:before="0" w:beforeAutospacing="0" w:after="0" w:afterAutospacing="0" w:line="260" w:lineRule="atLeast"/>
              <w:rPr>
                <w:rFonts w:cs="Times New Roman"/>
                <w:sz w:val="18"/>
                <w:szCs w:val="18"/>
              </w:rPr>
            </w:pPr>
            <w:r w:rsidRPr="00C20B7B">
              <w:rPr>
                <w:rFonts w:cs="Times New Roman" w:hint="eastAsia"/>
                <w:color w:val="000000"/>
                <w:sz w:val="18"/>
                <w:szCs w:val="18"/>
              </w:rPr>
              <w:t>（</w:t>
            </w:r>
            <w:r w:rsidRPr="00C20B7B">
              <w:rPr>
                <w:rFonts w:cs="Times New Roman"/>
                <w:color w:val="000000"/>
                <w:sz w:val="18"/>
                <w:szCs w:val="18"/>
              </w:rPr>
              <w:t>1</w:t>
            </w:r>
            <w:r w:rsidRPr="00C20B7B">
              <w:rPr>
                <w:rFonts w:cs="Times New Roman" w:hint="eastAsia"/>
                <w:color w:val="000000"/>
                <w:sz w:val="18"/>
                <w:szCs w:val="18"/>
              </w:rPr>
              <w:t>）相关设备及其他配套设施已安装完毕；（</w:t>
            </w:r>
            <w:r w:rsidRPr="00C20B7B">
              <w:rPr>
                <w:rFonts w:cs="Times New Roman"/>
                <w:color w:val="000000"/>
                <w:sz w:val="18"/>
                <w:szCs w:val="18"/>
              </w:rPr>
              <w:t>2</w:t>
            </w:r>
            <w:r w:rsidRPr="00C20B7B">
              <w:rPr>
                <w:rFonts w:cs="Times New Roman" w:hint="eastAsia"/>
                <w:color w:val="000000"/>
                <w:sz w:val="18"/>
                <w:szCs w:val="18"/>
              </w:rPr>
              <w:t>）设备经过调试可在一段时间内保持正常稳定运行；（</w:t>
            </w:r>
            <w:r w:rsidRPr="00C20B7B">
              <w:rPr>
                <w:rFonts w:cs="Times New Roman"/>
                <w:color w:val="000000"/>
                <w:sz w:val="18"/>
                <w:szCs w:val="18"/>
              </w:rPr>
              <w:t>3</w:t>
            </w:r>
            <w:r w:rsidRPr="00C20B7B">
              <w:rPr>
                <w:rFonts w:cs="Times New Roman" w:hint="eastAsia"/>
                <w:color w:val="000000"/>
                <w:sz w:val="18"/>
                <w:szCs w:val="18"/>
              </w:rPr>
              <w:t>）生产设备能够在一段时间内稳定的产出合格产品；（</w:t>
            </w:r>
            <w:r w:rsidRPr="00C20B7B">
              <w:rPr>
                <w:rFonts w:cs="Times New Roman"/>
                <w:color w:val="000000"/>
                <w:sz w:val="18"/>
                <w:szCs w:val="18"/>
              </w:rPr>
              <w:t>4</w:t>
            </w:r>
            <w:r w:rsidRPr="00C20B7B">
              <w:rPr>
                <w:rFonts w:cs="Times New Roman" w:hint="eastAsia"/>
                <w:color w:val="000000"/>
                <w:sz w:val="18"/>
                <w:szCs w:val="18"/>
              </w:rPr>
              <w:t>）设备经过资产管理人员和使用人员验收。</w:t>
            </w:r>
          </w:p>
        </w:tc>
      </w:tr>
    </w:tbl>
    <w:p w:rsidR="00A2119D" w:rsidRPr="00C20B7B" w:rsidRDefault="00A2119D" w:rsidP="00C20B7B">
      <w:pPr>
        <w:pStyle w:val="a3"/>
        <w:spacing w:before="0" w:beforeAutospacing="0" w:after="0" w:afterAutospacing="0" w:line="360" w:lineRule="auto"/>
        <w:ind w:firstLine="420"/>
        <w:jc w:val="both"/>
        <w:divId w:val="548733542"/>
        <w:rPr>
          <w:rFonts w:cs="Times New Roman"/>
          <w:color w:val="000000"/>
          <w:sz w:val="21"/>
          <w:szCs w:val="21"/>
        </w:rPr>
      </w:pPr>
      <w:r>
        <w:rPr>
          <w:rFonts w:cs="Times New Roman" w:hint="eastAsia"/>
          <w:color w:val="000000"/>
          <w:sz w:val="21"/>
          <w:szCs w:val="21"/>
        </w:rPr>
        <w:t>（</w:t>
      </w:r>
      <w:r w:rsidRPr="00C20B7B">
        <w:rPr>
          <w:rFonts w:cs="Times New Roman"/>
          <w:color w:val="000000"/>
          <w:sz w:val="21"/>
          <w:szCs w:val="21"/>
        </w:rPr>
        <w:t>3</w:t>
      </w:r>
      <w:r>
        <w:rPr>
          <w:rFonts w:cs="Times New Roman" w:hint="eastAsia"/>
          <w:color w:val="000000"/>
          <w:sz w:val="21"/>
          <w:szCs w:val="21"/>
        </w:rPr>
        <w:t>）在建工程减值准备的确认标准、计提方法：</w:t>
      </w:r>
    </w:p>
    <w:p w:rsidR="00A2119D" w:rsidRPr="00C20B7B" w:rsidRDefault="00A2119D" w:rsidP="00C20B7B">
      <w:pPr>
        <w:pStyle w:val="a3"/>
        <w:spacing w:before="0" w:beforeAutospacing="0" w:after="0" w:afterAutospacing="0" w:line="360" w:lineRule="auto"/>
        <w:ind w:firstLine="420"/>
        <w:jc w:val="both"/>
        <w:divId w:val="548733542"/>
        <w:rPr>
          <w:rFonts w:cs="Times New Roman"/>
          <w:color w:val="000000"/>
          <w:sz w:val="21"/>
          <w:szCs w:val="21"/>
        </w:rPr>
      </w:pPr>
      <w:r w:rsidRPr="00C20B7B">
        <w:rPr>
          <w:rFonts w:cs="Times New Roman" w:hint="eastAsia"/>
          <w:color w:val="000000"/>
          <w:sz w:val="21"/>
          <w:szCs w:val="21"/>
        </w:rPr>
        <w:t>具体详见</w:t>
      </w:r>
      <w:r w:rsidR="00C20B7B" w:rsidRPr="00C20B7B">
        <w:rPr>
          <w:rFonts w:cs="Times New Roman" w:hint="eastAsia"/>
          <w:color w:val="000000"/>
          <w:sz w:val="21"/>
          <w:szCs w:val="21"/>
        </w:rPr>
        <w:t>附注五、3</w:t>
      </w:r>
      <w:r w:rsidR="00C20B7B" w:rsidRPr="00C20B7B">
        <w:rPr>
          <w:rFonts w:cs="Times New Roman"/>
          <w:color w:val="000000"/>
          <w:sz w:val="21"/>
          <w:szCs w:val="21"/>
        </w:rPr>
        <w:t>0</w:t>
      </w:r>
      <w:r w:rsidR="00C20B7B" w:rsidRPr="00C20B7B">
        <w:rPr>
          <w:rFonts w:cs="Times New Roman" w:hint="eastAsia"/>
          <w:color w:val="000000"/>
          <w:sz w:val="21"/>
          <w:szCs w:val="21"/>
        </w:rPr>
        <w:t>、长期资产减值</w:t>
      </w:r>
      <w:r w:rsidRPr="00C20B7B">
        <w:rPr>
          <w:rFonts w:cs="Times New Roman" w:hint="eastAsia"/>
          <w:color w:val="000000"/>
          <w:sz w:val="21"/>
          <w:szCs w:val="21"/>
        </w:rPr>
        <w:t>。</w:t>
      </w:r>
    </w:p>
    <w:p w:rsidR="00A27D66" w:rsidRDefault="00A2119D">
      <w:pPr>
        <w:pStyle w:val="3"/>
        <w:spacing w:line="280" w:lineRule="exact"/>
        <w:jc w:val="left"/>
        <w:rPr>
          <w:rFonts w:ascii="宋体" w:hAnsi="宋体" w:cs="宋体"/>
          <w:b/>
          <w:bCs/>
        </w:rPr>
      </w:pPr>
      <w:bookmarkStart w:id="195" w:name="_Toc989079"/>
      <w:r>
        <w:rPr>
          <w:rFonts w:ascii="宋体" w:hAnsi="宋体" w:cs="宋体"/>
          <w:b/>
          <w:bCs/>
        </w:rPr>
        <w:t>26、借款费用</w:t>
      </w:r>
      <w:bookmarkEnd w:id="195"/>
    </w:p>
    <w:p w:rsidR="00A2119D" w:rsidRPr="00A3576E" w:rsidRDefault="00A2119D" w:rsidP="00A3576E">
      <w:pPr>
        <w:pStyle w:val="a3"/>
        <w:spacing w:before="0" w:beforeAutospacing="0" w:after="0" w:afterAutospacing="0" w:line="360" w:lineRule="auto"/>
        <w:ind w:firstLine="420"/>
        <w:jc w:val="both"/>
        <w:divId w:val="143088546"/>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1</w:t>
      </w:r>
      <w:r>
        <w:rPr>
          <w:rFonts w:cs="Times New Roman" w:hint="eastAsia"/>
          <w:color w:val="000000"/>
          <w:sz w:val="21"/>
          <w:szCs w:val="21"/>
        </w:rPr>
        <w:t>）借款费用资本化的确认原则</w:t>
      </w:r>
    </w:p>
    <w:p w:rsidR="00A2119D" w:rsidRPr="00A3576E" w:rsidRDefault="00A2119D" w:rsidP="00A3576E">
      <w:pPr>
        <w:pStyle w:val="a3"/>
        <w:spacing w:before="0" w:beforeAutospacing="0" w:after="0" w:afterAutospacing="0" w:line="360" w:lineRule="auto"/>
        <w:ind w:firstLine="420"/>
        <w:jc w:val="both"/>
        <w:divId w:val="143088546"/>
        <w:rPr>
          <w:rFonts w:cs="Times New Roman"/>
          <w:color w:val="000000"/>
          <w:sz w:val="21"/>
          <w:szCs w:val="21"/>
        </w:rPr>
      </w:pPr>
      <w:r>
        <w:rPr>
          <w:rFonts w:cs="Times New Roman" w:hint="eastAsia"/>
          <w:color w:val="000000"/>
          <w:sz w:val="21"/>
          <w:szCs w:val="21"/>
        </w:rPr>
        <w:t>本公司发生的借款费用，可直接归属于符合资本化条件的资产的购建或者生产的，予以资本化，计入相关资产成本；其他借款费用，在发生时根据其发生额确认为费用，计入当期损益。</w:t>
      </w:r>
    </w:p>
    <w:p w:rsidR="00A2119D" w:rsidRPr="00A3576E" w:rsidRDefault="00A2119D" w:rsidP="00A3576E">
      <w:pPr>
        <w:pStyle w:val="a3"/>
        <w:spacing w:before="0" w:beforeAutospacing="0" w:after="0" w:afterAutospacing="0" w:line="360" w:lineRule="auto"/>
        <w:ind w:firstLine="420"/>
        <w:jc w:val="both"/>
        <w:divId w:val="143088546"/>
        <w:rPr>
          <w:rFonts w:cs="Times New Roman"/>
          <w:color w:val="000000"/>
          <w:sz w:val="21"/>
          <w:szCs w:val="21"/>
        </w:rPr>
      </w:pPr>
      <w:r>
        <w:rPr>
          <w:rFonts w:cs="Times New Roman" w:hint="eastAsia"/>
          <w:color w:val="000000"/>
          <w:sz w:val="21"/>
          <w:szCs w:val="21"/>
        </w:rPr>
        <w:t>借款费用同时满足以下条件时予以资本化：（</w:t>
      </w:r>
      <w:r w:rsidRPr="00A3576E">
        <w:rPr>
          <w:rFonts w:cs="Times New Roman"/>
          <w:color w:val="000000"/>
          <w:sz w:val="21"/>
          <w:szCs w:val="21"/>
        </w:rPr>
        <w:t>1</w:t>
      </w:r>
      <w:r>
        <w:rPr>
          <w:rFonts w:cs="Times New Roman" w:hint="eastAsia"/>
          <w:color w:val="000000"/>
          <w:sz w:val="21"/>
          <w:szCs w:val="21"/>
        </w:rPr>
        <w:t>）资产支出已经发生，资产支出包括为购建或者生产符合资本化条件的资产而以支付现金、</w:t>
      </w:r>
      <w:proofErr w:type="gramStart"/>
      <w:r>
        <w:rPr>
          <w:rFonts w:cs="Times New Roman" w:hint="eastAsia"/>
          <w:color w:val="000000"/>
          <w:sz w:val="21"/>
          <w:szCs w:val="21"/>
        </w:rPr>
        <w:t>转移非</w:t>
      </w:r>
      <w:proofErr w:type="gramEnd"/>
      <w:r>
        <w:rPr>
          <w:rFonts w:cs="Times New Roman" w:hint="eastAsia"/>
          <w:color w:val="000000"/>
          <w:sz w:val="21"/>
          <w:szCs w:val="21"/>
        </w:rPr>
        <w:t>现金资产或者承担带息债务形式发生的支出；（</w:t>
      </w:r>
      <w:r w:rsidRPr="00A3576E">
        <w:rPr>
          <w:rFonts w:cs="Times New Roman"/>
          <w:color w:val="000000"/>
          <w:sz w:val="21"/>
          <w:szCs w:val="21"/>
        </w:rPr>
        <w:t>2</w:t>
      </w:r>
      <w:r>
        <w:rPr>
          <w:rFonts w:cs="Times New Roman" w:hint="eastAsia"/>
          <w:color w:val="000000"/>
          <w:sz w:val="21"/>
          <w:szCs w:val="21"/>
        </w:rPr>
        <w:t>）借款费用已经发生；（</w:t>
      </w:r>
      <w:r w:rsidRPr="00A3576E">
        <w:rPr>
          <w:rFonts w:cs="Times New Roman"/>
          <w:color w:val="000000"/>
          <w:sz w:val="21"/>
          <w:szCs w:val="21"/>
        </w:rPr>
        <w:t>3</w:t>
      </w:r>
      <w:r>
        <w:rPr>
          <w:rFonts w:cs="Times New Roman" w:hint="eastAsia"/>
          <w:color w:val="000000"/>
          <w:sz w:val="21"/>
          <w:szCs w:val="21"/>
        </w:rPr>
        <w:t>）为使资产达到预定可使用或者可销售状态所必要的购建或者生产活动已经开始。</w:t>
      </w:r>
    </w:p>
    <w:p w:rsidR="00A2119D" w:rsidRPr="00A3576E" w:rsidRDefault="00A2119D" w:rsidP="00A3576E">
      <w:pPr>
        <w:pStyle w:val="a3"/>
        <w:spacing w:before="0" w:beforeAutospacing="0" w:after="0" w:afterAutospacing="0" w:line="360" w:lineRule="auto"/>
        <w:ind w:firstLine="420"/>
        <w:jc w:val="both"/>
        <w:divId w:val="143088546"/>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2</w:t>
      </w:r>
      <w:r>
        <w:rPr>
          <w:rFonts w:cs="Times New Roman" w:hint="eastAsia"/>
          <w:color w:val="000000"/>
          <w:sz w:val="21"/>
          <w:szCs w:val="21"/>
        </w:rPr>
        <w:t>）借款费用资本化期间</w:t>
      </w:r>
    </w:p>
    <w:p w:rsidR="00A2119D" w:rsidRPr="00A3576E" w:rsidRDefault="00A2119D" w:rsidP="00A3576E">
      <w:pPr>
        <w:pStyle w:val="a3"/>
        <w:spacing w:before="0" w:beforeAutospacing="0" w:after="0" w:afterAutospacing="0" w:line="360" w:lineRule="auto"/>
        <w:ind w:firstLine="420"/>
        <w:jc w:val="both"/>
        <w:divId w:val="143088546"/>
        <w:rPr>
          <w:rFonts w:cs="Times New Roman"/>
          <w:color w:val="000000"/>
          <w:sz w:val="21"/>
          <w:szCs w:val="21"/>
        </w:rPr>
      </w:pPr>
      <w:r>
        <w:rPr>
          <w:rFonts w:cs="Times New Roman" w:hint="eastAsia"/>
          <w:color w:val="000000"/>
          <w:sz w:val="21"/>
          <w:szCs w:val="21"/>
        </w:rPr>
        <w:t>符合资本化条件的资产在购建或者生产过程中发生非正常中断、且中断时间连续超过</w:t>
      </w:r>
      <w:r w:rsidRPr="00A3576E">
        <w:rPr>
          <w:rFonts w:cs="Times New Roman"/>
          <w:color w:val="000000"/>
          <w:sz w:val="21"/>
          <w:szCs w:val="21"/>
        </w:rPr>
        <w:t>3</w:t>
      </w:r>
      <w:r>
        <w:rPr>
          <w:rFonts w:cs="Times New Roman" w:hint="eastAsia"/>
          <w:color w:val="000000"/>
          <w:sz w:val="21"/>
          <w:szCs w:val="21"/>
        </w:rPr>
        <w:t>个月的，暂停借款费用的资本化。在中断期间发生的借款费用应当确认为费用，计入当期损益，直至资产的购建或者生产活动重新开始。如果中断是所购建或者生产的符合资本化条件的资产达到预定可使用或者可销售状态必要的程序，借款费用的资本化应当继续进行。</w:t>
      </w:r>
    </w:p>
    <w:p w:rsidR="00A2119D" w:rsidRPr="00A3576E" w:rsidRDefault="00A2119D" w:rsidP="00A3576E">
      <w:pPr>
        <w:pStyle w:val="a3"/>
        <w:spacing w:before="0" w:beforeAutospacing="0" w:after="0" w:afterAutospacing="0" w:line="360" w:lineRule="auto"/>
        <w:ind w:firstLine="420"/>
        <w:jc w:val="both"/>
        <w:divId w:val="143088546"/>
        <w:rPr>
          <w:rFonts w:cs="Times New Roman"/>
          <w:color w:val="000000"/>
          <w:sz w:val="21"/>
          <w:szCs w:val="21"/>
        </w:rPr>
      </w:pPr>
      <w:r>
        <w:rPr>
          <w:rFonts w:cs="Times New Roman" w:hint="eastAsia"/>
          <w:color w:val="000000"/>
          <w:sz w:val="21"/>
          <w:szCs w:val="21"/>
        </w:rPr>
        <w:t>购建或者生产符合资本化条件的资产达到预定可使用或者可销售状态时，借款费用停止资本化。在符合资本化条件的资产达到预定可使用或者可销售状态之后所发生的借款费用，在发生时根据其发生额确认为费用，计入当期损益。</w:t>
      </w:r>
    </w:p>
    <w:p w:rsidR="00A2119D" w:rsidRPr="00A3576E" w:rsidRDefault="00A2119D" w:rsidP="00A3576E">
      <w:pPr>
        <w:pStyle w:val="a3"/>
        <w:spacing w:before="0" w:beforeAutospacing="0" w:after="0" w:afterAutospacing="0" w:line="360" w:lineRule="auto"/>
        <w:ind w:firstLine="420"/>
        <w:jc w:val="both"/>
        <w:divId w:val="143088546"/>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3</w:t>
      </w:r>
      <w:r>
        <w:rPr>
          <w:rFonts w:cs="Times New Roman" w:hint="eastAsia"/>
          <w:color w:val="000000"/>
          <w:sz w:val="21"/>
          <w:szCs w:val="21"/>
        </w:rPr>
        <w:t>）借款费用资本化率以及资本</w:t>
      </w:r>
      <w:proofErr w:type="gramStart"/>
      <w:r>
        <w:rPr>
          <w:rFonts w:cs="Times New Roman" w:hint="eastAsia"/>
          <w:color w:val="000000"/>
          <w:sz w:val="21"/>
          <w:szCs w:val="21"/>
        </w:rPr>
        <w:t>化金额</w:t>
      </w:r>
      <w:proofErr w:type="gramEnd"/>
      <w:r>
        <w:rPr>
          <w:rFonts w:cs="Times New Roman" w:hint="eastAsia"/>
          <w:color w:val="000000"/>
          <w:sz w:val="21"/>
          <w:szCs w:val="21"/>
        </w:rPr>
        <w:t>的计算方法</w:t>
      </w:r>
    </w:p>
    <w:p w:rsidR="00A2119D" w:rsidRPr="00A3576E" w:rsidRDefault="00A2119D" w:rsidP="00A3576E">
      <w:pPr>
        <w:pStyle w:val="a3"/>
        <w:spacing w:before="0" w:beforeAutospacing="0" w:after="0" w:afterAutospacing="0" w:line="360" w:lineRule="auto"/>
        <w:ind w:firstLine="420"/>
        <w:jc w:val="both"/>
        <w:divId w:val="143088546"/>
        <w:rPr>
          <w:rFonts w:cs="Times New Roman"/>
          <w:color w:val="000000"/>
          <w:sz w:val="21"/>
          <w:szCs w:val="21"/>
        </w:rPr>
      </w:pPr>
      <w:r>
        <w:rPr>
          <w:rFonts w:cs="Times New Roman" w:hint="eastAsia"/>
          <w:color w:val="000000"/>
          <w:sz w:val="21"/>
          <w:szCs w:val="21"/>
        </w:rPr>
        <w:lastRenderedPageBreak/>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并应当在资本</w:t>
      </w:r>
      <w:proofErr w:type="gramStart"/>
      <w:r>
        <w:rPr>
          <w:rFonts w:cs="Times New Roman" w:hint="eastAsia"/>
          <w:color w:val="000000"/>
          <w:sz w:val="21"/>
          <w:szCs w:val="21"/>
        </w:rPr>
        <w:t>化期间</w:t>
      </w:r>
      <w:proofErr w:type="gramEnd"/>
      <w:r>
        <w:rPr>
          <w:rFonts w:cs="Times New Roman" w:hint="eastAsia"/>
          <w:color w:val="000000"/>
          <w:sz w:val="21"/>
          <w:szCs w:val="21"/>
        </w:rPr>
        <w:t>内，将其计入符合资本化条件的资产成本。为购建或者生产符合资本化条件的资产占用了一般借款的，根据累计资产支出超过专门借款部分的资产支出加权平均数乘以所占用一般借款的资本化率，确定资本化金额。资本化率根据一般借款的加权平均利率计算确定。</w:t>
      </w:r>
    </w:p>
    <w:p w:rsidR="00A2119D" w:rsidRPr="00A3576E" w:rsidRDefault="00A2119D" w:rsidP="00A3576E">
      <w:pPr>
        <w:pStyle w:val="a3"/>
        <w:spacing w:before="0" w:beforeAutospacing="0" w:after="0" w:afterAutospacing="0" w:line="360" w:lineRule="auto"/>
        <w:ind w:firstLine="420"/>
        <w:jc w:val="both"/>
        <w:divId w:val="143088546"/>
        <w:rPr>
          <w:rFonts w:cs="Times New Roman"/>
          <w:color w:val="000000"/>
          <w:sz w:val="21"/>
          <w:szCs w:val="21"/>
        </w:rPr>
      </w:pPr>
      <w:r>
        <w:rPr>
          <w:rFonts w:cs="Times New Roman" w:hint="eastAsia"/>
          <w:color w:val="000000"/>
          <w:sz w:val="21"/>
          <w:szCs w:val="21"/>
        </w:rPr>
        <w:t>资本</w:t>
      </w:r>
      <w:proofErr w:type="gramStart"/>
      <w:r>
        <w:rPr>
          <w:rFonts w:cs="Times New Roman" w:hint="eastAsia"/>
          <w:color w:val="000000"/>
          <w:sz w:val="21"/>
          <w:szCs w:val="21"/>
        </w:rPr>
        <w:t>化期间</w:t>
      </w:r>
      <w:proofErr w:type="gramEnd"/>
      <w:r>
        <w:rPr>
          <w:rFonts w:cs="Times New Roman" w:hint="eastAsia"/>
          <w:color w:val="000000"/>
          <w:sz w:val="21"/>
          <w:szCs w:val="21"/>
        </w:rPr>
        <w:t>内，外币专门借款本金及利息所产生的汇兑差额全部予以资本化，除外币专门借款之外的其他外币借款本金及其利息所产生的汇兑差额计入当期损益。</w:t>
      </w:r>
    </w:p>
    <w:p w:rsidR="00A27D66" w:rsidRDefault="00A2119D">
      <w:pPr>
        <w:pStyle w:val="3"/>
        <w:spacing w:line="280" w:lineRule="exact"/>
        <w:jc w:val="left"/>
        <w:rPr>
          <w:rFonts w:ascii="宋体" w:hAnsi="宋体" w:cs="宋体"/>
          <w:b/>
          <w:bCs/>
        </w:rPr>
      </w:pPr>
      <w:bookmarkStart w:id="196" w:name="_Toc989080"/>
      <w:r>
        <w:rPr>
          <w:rFonts w:ascii="宋体" w:hAnsi="宋体" w:cs="宋体"/>
          <w:b/>
          <w:bCs/>
        </w:rPr>
        <w:t>27、生物资产</w:t>
      </w:r>
      <w:bookmarkEnd w:id="196"/>
    </w:p>
    <w:p w:rsidR="00A2119D" w:rsidRDefault="00A2119D">
      <w:pPr>
        <w:pStyle w:val="a3"/>
        <w:divId w:val="185599628"/>
        <w:rPr>
          <w:sz w:val="18"/>
          <w:szCs w:val="18"/>
        </w:rPr>
      </w:pPr>
      <w:r>
        <w:rPr>
          <w:rFonts w:hint="eastAsia"/>
          <w:sz w:val="18"/>
          <w:szCs w:val="18"/>
        </w:rPr>
        <w:t>不适用。</w:t>
      </w:r>
    </w:p>
    <w:p w:rsidR="00A27D66" w:rsidRDefault="00A2119D">
      <w:pPr>
        <w:pStyle w:val="3"/>
        <w:spacing w:line="280" w:lineRule="exact"/>
        <w:jc w:val="left"/>
        <w:rPr>
          <w:rFonts w:ascii="宋体" w:hAnsi="宋体" w:cs="宋体"/>
          <w:b/>
          <w:bCs/>
        </w:rPr>
      </w:pPr>
      <w:bookmarkStart w:id="197" w:name="_Toc989081"/>
      <w:r>
        <w:rPr>
          <w:rFonts w:ascii="宋体" w:hAnsi="宋体" w:cs="宋体"/>
          <w:b/>
          <w:bCs/>
        </w:rPr>
        <w:t>28、油气资产</w:t>
      </w:r>
      <w:bookmarkEnd w:id="197"/>
    </w:p>
    <w:p w:rsidR="00A2119D" w:rsidRDefault="00A2119D">
      <w:pPr>
        <w:pStyle w:val="a3"/>
        <w:divId w:val="712729073"/>
        <w:rPr>
          <w:sz w:val="18"/>
          <w:szCs w:val="18"/>
        </w:rPr>
      </w:pPr>
      <w:r>
        <w:rPr>
          <w:rFonts w:hint="eastAsia"/>
          <w:sz w:val="18"/>
          <w:szCs w:val="18"/>
        </w:rPr>
        <w:t>不适用。</w:t>
      </w:r>
    </w:p>
    <w:p w:rsidR="00A27D66" w:rsidRDefault="00A2119D">
      <w:pPr>
        <w:pStyle w:val="3"/>
        <w:spacing w:line="280" w:lineRule="exact"/>
        <w:jc w:val="left"/>
        <w:rPr>
          <w:rFonts w:ascii="宋体" w:hAnsi="宋体" w:cs="宋体"/>
          <w:b/>
          <w:bCs/>
        </w:rPr>
      </w:pPr>
      <w:bookmarkStart w:id="198" w:name="_Toc989082"/>
      <w:r>
        <w:rPr>
          <w:rFonts w:ascii="宋体" w:hAnsi="宋体" w:cs="宋体"/>
          <w:b/>
          <w:bCs/>
        </w:rPr>
        <w:t>29、无形资产</w:t>
      </w:r>
      <w:bookmarkEnd w:id="198"/>
    </w:p>
    <w:p w:rsidR="00A27D66" w:rsidRDefault="00A2119D">
      <w:pPr>
        <w:keepNext/>
        <w:keepLines/>
        <w:spacing w:before="300" w:after="300" w:line="280" w:lineRule="exact"/>
        <w:outlineLvl w:val="3"/>
        <w:rPr>
          <w:rFonts w:ascii="宋体" w:eastAsia="宋体" w:hAnsi="宋体" w:cs="宋体"/>
          <w:b/>
          <w:bCs/>
          <w:szCs w:val="21"/>
        </w:rPr>
      </w:pPr>
      <w:bookmarkStart w:id="199" w:name="_Toc989083"/>
      <w:r>
        <w:rPr>
          <w:rFonts w:ascii="宋体" w:eastAsia="宋体" w:hAnsi="宋体" w:cs="宋体"/>
          <w:b/>
          <w:bCs/>
          <w:szCs w:val="21"/>
        </w:rPr>
        <w:t>（1） 使用寿命及其确定依据、估计情况、摊销方法或复核程序</w:t>
      </w:r>
      <w:bookmarkEnd w:id="199"/>
    </w:p>
    <w:p w:rsidR="00A2119D" w:rsidRPr="00A3576E" w:rsidRDefault="00A2119D" w:rsidP="00A3576E">
      <w:pPr>
        <w:pStyle w:val="a3"/>
        <w:spacing w:before="0" w:beforeAutospacing="0" w:after="0" w:afterAutospacing="0" w:line="360" w:lineRule="auto"/>
        <w:ind w:firstLine="420"/>
        <w:jc w:val="both"/>
        <w:divId w:val="495807748"/>
        <w:rPr>
          <w:rFonts w:cs="Times New Roman"/>
          <w:color w:val="000000"/>
          <w:sz w:val="21"/>
          <w:szCs w:val="21"/>
        </w:rPr>
      </w:pPr>
      <w:r>
        <w:rPr>
          <w:rFonts w:cs="Times New Roman" w:hint="eastAsia"/>
          <w:color w:val="000000"/>
          <w:sz w:val="21"/>
          <w:szCs w:val="21"/>
        </w:rPr>
        <w:t>本公司无形资产分为土地使用权、专利技术及计算机软件等。</w:t>
      </w:r>
    </w:p>
    <w:p w:rsidR="00A2119D" w:rsidRPr="00A3576E" w:rsidRDefault="00A2119D" w:rsidP="00A3576E">
      <w:pPr>
        <w:pStyle w:val="a3"/>
        <w:spacing w:before="0" w:beforeAutospacing="0" w:after="0" w:afterAutospacing="0" w:line="360" w:lineRule="auto"/>
        <w:ind w:firstLine="420"/>
        <w:jc w:val="both"/>
        <w:divId w:val="495807748"/>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1</w:t>
      </w:r>
      <w:r>
        <w:rPr>
          <w:rFonts w:cs="Times New Roman" w:hint="eastAsia"/>
          <w:color w:val="000000"/>
          <w:sz w:val="21"/>
          <w:szCs w:val="21"/>
        </w:rPr>
        <w:t>）无形资产的计价方法：</w:t>
      </w:r>
    </w:p>
    <w:p w:rsidR="00A2119D" w:rsidRPr="00A3576E" w:rsidRDefault="00A2119D" w:rsidP="00A3576E">
      <w:pPr>
        <w:pStyle w:val="a3"/>
        <w:spacing w:before="0" w:beforeAutospacing="0" w:after="0" w:afterAutospacing="0" w:line="360" w:lineRule="auto"/>
        <w:ind w:firstLine="420"/>
        <w:jc w:val="both"/>
        <w:divId w:val="495807748"/>
        <w:rPr>
          <w:rFonts w:cs="Times New Roman"/>
          <w:color w:val="000000"/>
          <w:sz w:val="21"/>
          <w:szCs w:val="21"/>
        </w:rPr>
      </w:pPr>
      <w:r>
        <w:rPr>
          <w:rFonts w:cs="Times New Roman" w:hint="eastAsia"/>
          <w:color w:val="000000"/>
          <w:sz w:val="21"/>
          <w:szCs w:val="21"/>
        </w:rPr>
        <w:t>本公司无形资产按照成本进行初始计量。</w:t>
      </w:r>
    </w:p>
    <w:p w:rsidR="00A2119D" w:rsidRPr="00A3576E" w:rsidRDefault="00A2119D" w:rsidP="00A3576E">
      <w:pPr>
        <w:pStyle w:val="a3"/>
        <w:spacing w:before="0" w:beforeAutospacing="0" w:after="0" w:afterAutospacing="0" w:line="360" w:lineRule="auto"/>
        <w:ind w:firstLine="420"/>
        <w:jc w:val="both"/>
        <w:divId w:val="495807748"/>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2</w:t>
      </w:r>
      <w:r>
        <w:rPr>
          <w:rFonts w:cs="Times New Roman" w:hint="eastAsia"/>
          <w:color w:val="000000"/>
          <w:sz w:val="21"/>
          <w:szCs w:val="21"/>
        </w:rPr>
        <w:t>）使用寿命及其确定依据、估计情况及摊销方法</w:t>
      </w:r>
    </w:p>
    <w:p w:rsidR="00A2119D" w:rsidRPr="00A3576E" w:rsidRDefault="00A2119D" w:rsidP="00A3576E">
      <w:pPr>
        <w:pStyle w:val="a3"/>
        <w:spacing w:before="0" w:beforeAutospacing="0" w:after="0" w:afterAutospacing="0" w:line="360" w:lineRule="auto"/>
        <w:ind w:firstLine="420"/>
        <w:jc w:val="both"/>
        <w:divId w:val="495807748"/>
        <w:rPr>
          <w:rFonts w:cs="Times New Roman"/>
          <w:color w:val="000000"/>
          <w:sz w:val="21"/>
          <w:szCs w:val="21"/>
        </w:rPr>
      </w:pPr>
      <w:r>
        <w:rPr>
          <w:rFonts w:cs="Times New Roman" w:hint="eastAsia"/>
          <w:color w:val="000000"/>
          <w:sz w:val="21"/>
          <w:szCs w:val="21"/>
        </w:rPr>
        <w:t>使用寿命有限的无形资产，其应摊销金额在使用寿命内按直线法摊销，来源于合同性权利或其他法定权利的无形资产，其使用寿命不应超过合同性权利或其他法定权利的期限；合同性权利或其他法定权利在到期时因续约等延续、且有证据表明企业续约不需要付出大额成本的，续约期计入使用寿命。合同或法律没有规定使用寿命的，本公司综合各方面因素判断，以确定无形资产能为企业带来经济利益的期限。按照上述方法仍无法合理确定无形资产带来经济利益期限的，该项无形资产作为使用寿命不确定的无形资产，不作摊销，并于每会计年度内对使用寿命不确定的无形资产的使用寿命进行复核，如有证据表明无形资产的使用寿命是有限的，应当估计其使用寿命，并按使用寿命有限的无形资产核算方法进行处理。</w:t>
      </w:r>
    </w:p>
    <w:p w:rsidR="00A2119D" w:rsidRPr="00A3576E" w:rsidRDefault="00A2119D" w:rsidP="00A3576E">
      <w:pPr>
        <w:pStyle w:val="a3"/>
        <w:spacing w:before="0" w:beforeAutospacing="0" w:after="0" w:afterAutospacing="0" w:line="360" w:lineRule="auto"/>
        <w:ind w:firstLine="420"/>
        <w:jc w:val="both"/>
        <w:divId w:val="495807748"/>
        <w:rPr>
          <w:rFonts w:cs="Times New Roman"/>
          <w:color w:val="000000"/>
          <w:sz w:val="21"/>
          <w:szCs w:val="21"/>
        </w:rPr>
      </w:pPr>
      <w:r>
        <w:rPr>
          <w:rFonts w:cs="Times New Roman" w:hint="eastAsia"/>
          <w:color w:val="000000"/>
          <w:sz w:val="21"/>
          <w:szCs w:val="21"/>
        </w:rPr>
        <w:t>本公司使用寿命有限的无形资产其使用寿命确认依据、估计情况如下：</w:t>
      </w:r>
    </w:p>
    <w:tbl>
      <w:tblPr>
        <w:tblW w:w="5000" w:type="pct"/>
        <w:tblCellMar>
          <w:left w:w="0" w:type="dxa"/>
          <w:right w:w="0" w:type="dxa"/>
        </w:tblCellMar>
        <w:tblLook w:val="04A0" w:firstRow="1" w:lastRow="0" w:firstColumn="1" w:lastColumn="0" w:noHBand="0" w:noVBand="1"/>
      </w:tblPr>
      <w:tblGrid>
        <w:gridCol w:w="2580"/>
        <w:gridCol w:w="2002"/>
        <w:gridCol w:w="5035"/>
      </w:tblGrid>
      <w:tr w:rsidR="00A2119D">
        <w:trPr>
          <w:divId w:val="495807748"/>
          <w:cantSplit/>
          <w:trHeight w:val="397"/>
          <w:tblHeader/>
        </w:trPr>
        <w:tc>
          <w:tcPr>
            <w:tcW w:w="13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rFonts w:ascii="Times New Roman" w:hAnsi="Times New Roman" w:cs="Times New Roman"/>
                <w:sz w:val="21"/>
                <w:szCs w:val="21"/>
              </w:rPr>
            </w:pPr>
            <w:r>
              <w:rPr>
                <w:rFonts w:cs="Times New Roman" w:hint="eastAsia"/>
                <w:snapToGrid w:val="0"/>
                <w:color w:val="000000"/>
                <w:sz w:val="21"/>
                <w:szCs w:val="21"/>
              </w:rPr>
              <w:lastRenderedPageBreak/>
              <w:t>项目</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rFonts w:ascii="Times New Roman" w:hAnsi="Times New Roman" w:cs="Times New Roman"/>
                <w:sz w:val="21"/>
                <w:szCs w:val="21"/>
              </w:rPr>
            </w:pPr>
            <w:r>
              <w:rPr>
                <w:rFonts w:cs="Times New Roman" w:hint="eastAsia"/>
                <w:snapToGrid w:val="0"/>
                <w:color w:val="000000"/>
                <w:sz w:val="21"/>
                <w:szCs w:val="21"/>
              </w:rPr>
              <w:t>预计使用寿命</w:t>
            </w:r>
          </w:p>
        </w:tc>
        <w:tc>
          <w:tcPr>
            <w:tcW w:w="26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rFonts w:ascii="Times New Roman" w:hAnsi="Times New Roman" w:cs="Times New Roman"/>
                <w:sz w:val="21"/>
                <w:szCs w:val="21"/>
              </w:rPr>
            </w:pPr>
            <w:r>
              <w:rPr>
                <w:rFonts w:cs="Times New Roman" w:hint="eastAsia"/>
                <w:snapToGrid w:val="0"/>
                <w:color w:val="000000"/>
                <w:sz w:val="21"/>
                <w:szCs w:val="21"/>
              </w:rPr>
              <w:t>依据</w:t>
            </w:r>
          </w:p>
        </w:tc>
      </w:tr>
      <w:tr w:rsidR="00A2119D">
        <w:trPr>
          <w:divId w:val="495807748"/>
          <w:cantSplit/>
          <w:trHeight w:val="397"/>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rPr>
                <w:rFonts w:ascii="Times New Roman" w:hAnsi="Times New Roman" w:cs="Times New Roman"/>
                <w:sz w:val="21"/>
                <w:szCs w:val="21"/>
              </w:rPr>
            </w:pPr>
            <w:r>
              <w:rPr>
                <w:rFonts w:cs="Times New Roman" w:hint="eastAsia"/>
                <w:snapToGrid w:val="0"/>
                <w:color w:val="000000"/>
                <w:sz w:val="21"/>
                <w:szCs w:val="21"/>
              </w:rPr>
              <w:t>土地使用权</w:t>
            </w:r>
          </w:p>
        </w:tc>
        <w:tc>
          <w:tcPr>
            <w:tcW w:w="10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rFonts w:ascii="Times New Roman" w:hAnsi="Times New Roman" w:cs="Times New Roman"/>
                <w:sz w:val="21"/>
                <w:szCs w:val="21"/>
              </w:rPr>
            </w:pPr>
            <w:r>
              <w:rPr>
                <w:rFonts w:ascii="Times New Roman" w:hAnsi="Times New Roman" w:cs="Times New Roman"/>
                <w:snapToGrid w:val="0"/>
                <w:color w:val="000000"/>
                <w:sz w:val="21"/>
                <w:szCs w:val="21"/>
              </w:rPr>
              <w:t>50</w:t>
            </w:r>
            <w:r>
              <w:rPr>
                <w:rFonts w:cs="Times New Roman" w:hint="eastAsia"/>
                <w:snapToGrid w:val="0"/>
                <w:color w:val="000000"/>
                <w:sz w:val="21"/>
                <w:szCs w:val="21"/>
              </w:rPr>
              <w:t>年</w:t>
            </w:r>
          </w:p>
        </w:tc>
        <w:tc>
          <w:tcPr>
            <w:tcW w:w="2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rPr>
                <w:rFonts w:ascii="Times New Roman" w:hAnsi="Times New Roman" w:cs="Times New Roman"/>
                <w:sz w:val="21"/>
                <w:szCs w:val="21"/>
              </w:rPr>
            </w:pPr>
            <w:r>
              <w:rPr>
                <w:rFonts w:cs="Times New Roman" w:hint="eastAsia"/>
                <w:snapToGrid w:val="0"/>
                <w:color w:val="000000"/>
                <w:sz w:val="21"/>
                <w:szCs w:val="21"/>
              </w:rPr>
              <w:t>法定使用权</w:t>
            </w:r>
          </w:p>
        </w:tc>
      </w:tr>
      <w:tr w:rsidR="00A2119D">
        <w:trPr>
          <w:divId w:val="495807748"/>
          <w:cantSplit/>
          <w:trHeight w:val="397"/>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rPr>
                <w:rFonts w:ascii="Times New Roman" w:hAnsi="Times New Roman" w:cs="Times New Roman"/>
                <w:sz w:val="21"/>
                <w:szCs w:val="21"/>
              </w:rPr>
            </w:pPr>
            <w:r>
              <w:rPr>
                <w:rFonts w:cs="Times New Roman" w:hint="eastAsia"/>
                <w:snapToGrid w:val="0"/>
                <w:color w:val="000000"/>
                <w:sz w:val="21"/>
                <w:szCs w:val="21"/>
              </w:rPr>
              <w:t>专利技术</w:t>
            </w:r>
          </w:p>
        </w:tc>
        <w:tc>
          <w:tcPr>
            <w:tcW w:w="10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rFonts w:ascii="Times New Roman" w:hAnsi="Times New Roman" w:cs="Times New Roman"/>
                <w:sz w:val="21"/>
                <w:szCs w:val="21"/>
              </w:rPr>
            </w:pPr>
            <w:r>
              <w:rPr>
                <w:rFonts w:ascii="Times New Roman" w:hAnsi="Times New Roman" w:cs="Times New Roman"/>
                <w:snapToGrid w:val="0"/>
                <w:color w:val="000000"/>
                <w:sz w:val="21"/>
                <w:szCs w:val="21"/>
              </w:rPr>
              <w:t>10</w:t>
            </w:r>
            <w:r>
              <w:rPr>
                <w:rFonts w:cs="Times New Roman" w:hint="eastAsia"/>
                <w:snapToGrid w:val="0"/>
                <w:color w:val="000000"/>
                <w:sz w:val="21"/>
                <w:szCs w:val="21"/>
              </w:rPr>
              <w:t>年</w:t>
            </w:r>
          </w:p>
        </w:tc>
        <w:tc>
          <w:tcPr>
            <w:tcW w:w="2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rPr>
                <w:rFonts w:ascii="Times New Roman" w:hAnsi="Times New Roman" w:cs="Times New Roman"/>
                <w:sz w:val="21"/>
                <w:szCs w:val="21"/>
              </w:rPr>
            </w:pPr>
            <w:r>
              <w:rPr>
                <w:rFonts w:cs="Times New Roman" w:hint="eastAsia"/>
                <w:snapToGrid w:val="0"/>
                <w:color w:val="000000"/>
                <w:sz w:val="21"/>
                <w:szCs w:val="21"/>
              </w:rPr>
              <w:t>参考能为公司带来经济利益的期限确定使用寿命</w:t>
            </w:r>
          </w:p>
        </w:tc>
      </w:tr>
      <w:tr w:rsidR="00A2119D">
        <w:trPr>
          <w:divId w:val="495807748"/>
          <w:cantSplit/>
          <w:trHeight w:val="397"/>
        </w:trPr>
        <w:tc>
          <w:tcPr>
            <w:tcW w:w="134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rPr>
                <w:rFonts w:ascii="Times New Roman" w:hAnsi="Times New Roman" w:cs="Times New Roman"/>
                <w:sz w:val="21"/>
                <w:szCs w:val="21"/>
              </w:rPr>
            </w:pPr>
            <w:r>
              <w:rPr>
                <w:rFonts w:cs="Times New Roman" w:hint="eastAsia"/>
                <w:snapToGrid w:val="0"/>
                <w:color w:val="000000"/>
                <w:sz w:val="21"/>
                <w:szCs w:val="21"/>
              </w:rPr>
              <w:t>计算机软件</w:t>
            </w:r>
          </w:p>
        </w:tc>
        <w:tc>
          <w:tcPr>
            <w:tcW w:w="10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rFonts w:ascii="Times New Roman" w:hAnsi="Times New Roman" w:cs="Times New Roman"/>
                <w:sz w:val="21"/>
                <w:szCs w:val="21"/>
              </w:rPr>
            </w:pPr>
            <w:r>
              <w:rPr>
                <w:rFonts w:ascii="Times New Roman" w:hAnsi="Times New Roman" w:cs="Times New Roman"/>
                <w:snapToGrid w:val="0"/>
                <w:color w:val="000000"/>
                <w:sz w:val="21"/>
                <w:szCs w:val="21"/>
              </w:rPr>
              <w:t>5-10</w:t>
            </w:r>
            <w:r>
              <w:rPr>
                <w:rFonts w:cs="Times New Roman" w:hint="eastAsia"/>
                <w:snapToGrid w:val="0"/>
                <w:color w:val="000000"/>
                <w:sz w:val="21"/>
                <w:szCs w:val="21"/>
              </w:rPr>
              <w:t>年</w:t>
            </w:r>
          </w:p>
        </w:tc>
        <w:tc>
          <w:tcPr>
            <w:tcW w:w="26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rPr>
                <w:rFonts w:ascii="Times New Roman" w:hAnsi="Times New Roman" w:cs="Times New Roman"/>
                <w:sz w:val="21"/>
                <w:szCs w:val="21"/>
              </w:rPr>
            </w:pPr>
            <w:r>
              <w:rPr>
                <w:rFonts w:cs="Times New Roman" w:hint="eastAsia"/>
                <w:snapToGrid w:val="0"/>
                <w:color w:val="000000"/>
                <w:sz w:val="21"/>
                <w:szCs w:val="21"/>
              </w:rPr>
              <w:t>参考能为公司带来经济利益的期限确定使用寿命</w:t>
            </w:r>
          </w:p>
        </w:tc>
      </w:tr>
    </w:tbl>
    <w:p w:rsidR="00A2119D" w:rsidRPr="00A3576E" w:rsidRDefault="00A2119D" w:rsidP="00A3576E">
      <w:pPr>
        <w:pStyle w:val="a3"/>
        <w:spacing w:before="0" w:beforeAutospacing="0" w:after="0" w:afterAutospacing="0" w:line="360" w:lineRule="auto"/>
        <w:ind w:firstLine="420"/>
        <w:jc w:val="both"/>
        <w:divId w:val="495807748"/>
        <w:rPr>
          <w:rFonts w:cs="Times New Roman"/>
          <w:color w:val="000000"/>
          <w:sz w:val="21"/>
          <w:szCs w:val="21"/>
        </w:rPr>
      </w:pPr>
      <w:r>
        <w:rPr>
          <w:rFonts w:cs="Times New Roman" w:hint="eastAsia"/>
          <w:color w:val="000000"/>
          <w:sz w:val="21"/>
          <w:szCs w:val="21"/>
        </w:rPr>
        <w:t>经复核，本期末无形资产的使用寿命及摊销方法与以前估计未有不同。</w:t>
      </w:r>
    </w:p>
    <w:p w:rsidR="00A2119D" w:rsidRPr="00A3576E" w:rsidRDefault="00A2119D" w:rsidP="00A3576E">
      <w:pPr>
        <w:pStyle w:val="a3"/>
        <w:spacing w:before="0" w:beforeAutospacing="0" w:after="0" w:afterAutospacing="0" w:line="360" w:lineRule="auto"/>
        <w:ind w:firstLine="420"/>
        <w:jc w:val="both"/>
        <w:divId w:val="495807748"/>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3</w:t>
      </w:r>
      <w:r>
        <w:rPr>
          <w:rFonts w:cs="Times New Roman" w:hint="eastAsia"/>
          <w:color w:val="000000"/>
          <w:sz w:val="21"/>
          <w:szCs w:val="21"/>
        </w:rPr>
        <w:t>）无形资产减值准备的确认标准、计提方法</w:t>
      </w:r>
    </w:p>
    <w:p w:rsidR="00A2119D" w:rsidRPr="00A3576E" w:rsidRDefault="00A2119D" w:rsidP="00A3576E">
      <w:pPr>
        <w:pStyle w:val="a3"/>
        <w:spacing w:before="0" w:beforeAutospacing="0" w:after="0" w:afterAutospacing="0" w:line="360" w:lineRule="auto"/>
        <w:ind w:firstLine="420"/>
        <w:jc w:val="both"/>
        <w:divId w:val="495807748"/>
        <w:rPr>
          <w:rFonts w:cs="Times New Roman"/>
          <w:color w:val="000000"/>
          <w:sz w:val="21"/>
          <w:szCs w:val="21"/>
        </w:rPr>
      </w:pPr>
      <w:r w:rsidRPr="00A3576E">
        <w:rPr>
          <w:rFonts w:cs="Times New Roman" w:hint="eastAsia"/>
          <w:color w:val="000000"/>
          <w:sz w:val="21"/>
          <w:szCs w:val="21"/>
        </w:rPr>
        <w:t>具体详见附注</w:t>
      </w:r>
      <w:r w:rsidR="00A3576E">
        <w:rPr>
          <w:rFonts w:cs="Times New Roman" w:hint="eastAsia"/>
          <w:color w:val="000000"/>
          <w:sz w:val="21"/>
          <w:szCs w:val="21"/>
        </w:rPr>
        <w:t>五</w:t>
      </w:r>
      <w:r w:rsidRPr="00A3576E">
        <w:rPr>
          <w:rFonts w:cs="Times New Roman" w:hint="eastAsia"/>
          <w:color w:val="000000"/>
          <w:sz w:val="21"/>
          <w:szCs w:val="21"/>
        </w:rPr>
        <w:t>、</w:t>
      </w:r>
      <w:r w:rsidR="00A3576E">
        <w:rPr>
          <w:rFonts w:cs="Times New Roman"/>
          <w:color w:val="000000"/>
          <w:sz w:val="21"/>
          <w:szCs w:val="21"/>
        </w:rPr>
        <w:t>3</w:t>
      </w:r>
      <w:r w:rsidRPr="00A3576E">
        <w:rPr>
          <w:rFonts w:cs="Times New Roman"/>
          <w:color w:val="000000"/>
          <w:sz w:val="21"/>
          <w:szCs w:val="21"/>
        </w:rPr>
        <w:t>0</w:t>
      </w:r>
      <w:r w:rsidRPr="00A3576E">
        <w:rPr>
          <w:rFonts w:cs="Times New Roman" w:hint="eastAsia"/>
          <w:color w:val="000000"/>
          <w:sz w:val="21"/>
          <w:szCs w:val="21"/>
        </w:rPr>
        <w:t>、长期资产减值。</w:t>
      </w:r>
    </w:p>
    <w:p w:rsidR="00A27D66" w:rsidRDefault="00A2119D">
      <w:pPr>
        <w:keepNext/>
        <w:keepLines/>
        <w:spacing w:before="300" w:after="300" w:line="280" w:lineRule="exact"/>
        <w:outlineLvl w:val="3"/>
        <w:rPr>
          <w:rFonts w:ascii="宋体" w:eastAsia="宋体" w:hAnsi="宋体" w:cs="宋体"/>
          <w:b/>
          <w:bCs/>
          <w:szCs w:val="21"/>
        </w:rPr>
      </w:pPr>
      <w:bookmarkStart w:id="200" w:name="_Toc989084"/>
      <w:r>
        <w:rPr>
          <w:rFonts w:ascii="宋体" w:eastAsia="宋体" w:hAnsi="宋体" w:cs="宋体"/>
          <w:b/>
          <w:bCs/>
          <w:szCs w:val="21"/>
        </w:rPr>
        <w:t>（2） 研发支出的归集范围及相关会计处理方法</w:t>
      </w:r>
      <w:bookmarkEnd w:id="200"/>
    </w:p>
    <w:p w:rsidR="00A2119D" w:rsidRPr="00A3576E" w:rsidRDefault="00A2119D" w:rsidP="00A3576E">
      <w:pPr>
        <w:pStyle w:val="a3"/>
        <w:spacing w:before="0" w:beforeAutospacing="0" w:after="0" w:afterAutospacing="0" w:line="360" w:lineRule="auto"/>
        <w:ind w:firstLine="420"/>
        <w:jc w:val="both"/>
        <w:divId w:val="1827503755"/>
        <w:rPr>
          <w:rFonts w:cs="Times New Roman"/>
          <w:color w:val="000000"/>
          <w:sz w:val="21"/>
          <w:szCs w:val="21"/>
        </w:rPr>
      </w:pPr>
      <w:r>
        <w:rPr>
          <w:rFonts w:cs="Times New Roman" w:hint="eastAsia"/>
          <w:color w:val="000000"/>
          <w:sz w:val="21"/>
          <w:szCs w:val="21"/>
        </w:rPr>
        <w:t>本公司将与开展研发活动直接相关的各项费用归集为研发支出，包括直接发生的研发人员工资、直接材料、相关设备折旧费与长期待摊费用以及其他费用等。</w:t>
      </w:r>
    </w:p>
    <w:p w:rsidR="00A2119D" w:rsidRPr="00A3576E" w:rsidRDefault="00A2119D" w:rsidP="00A3576E">
      <w:pPr>
        <w:pStyle w:val="a3"/>
        <w:spacing w:before="0" w:beforeAutospacing="0" w:after="0" w:afterAutospacing="0" w:line="360" w:lineRule="auto"/>
        <w:ind w:firstLine="420"/>
        <w:jc w:val="both"/>
        <w:divId w:val="1827503755"/>
        <w:rPr>
          <w:rFonts w:cs="Times New Roman"/>
          <w:color w:val="000000"/>
          <w:sz w:val="21"/>
          <w:szCs w:val="21"/>
        </w:rPr>
      </w:pPr>
      <w:r>
        <w:rPr>
          <w:rFonts w:cs="Times New Roman" w:hint="eastAsia"/>
          <w:color w:val="000000"/>
          <w:sz w:val="21"/>
          <w:szCs w:val="21"/>
        </w:rPr>
        <w:t>本公司划分研究开发项目研究阶段支出和开发阶段的支出的具体标准如下：</w:t>
      </w:r>
    </w:p>
    <w:p w:rsidR="00A2119D" w:rsidRPr="00A3576E" w:rsidRDefault="00A2119D" w:rsidP="00A3576E">
      <w:pPr>
        <w:pStyle w:val="a3"/>
        <w:spacing w:before="0" w:beforeAutospacing="0" w:after="0" w:afterAutospacing="0" w:line="360" w:lineRule="auto"/>
        <w:ind w:firstLine="420"/>
        <w:jc w:val="both"/>
        <w:divId w:val="1827503755"/>
        <w:rPr>
          <w:rFonts w:cs="Times New Roman"/>
          <w:color w:val="000000"/>
          <w:sz w:val="21"/>
          <w:szCs w:val="21"/>
        </w:rPr>
      </w:pPr>
      <w:r>
        <w:rPr>
          <w:rFonts w:cs="Times New Roman" w:hint="eastAsia"/>
          <w:color w:val="000000"/>
          <w:sz w:val="21"/>
          <w:szCs w:val="21"/>
        </w:rPr>
        <w:t>公司将内部研究开发项目区分为研究阶段和开发阶段。研究阶段是指为获取并理解新的科学或技术知识而进行的独创性的有计划调查阶段。开发阶段是指已完成研究阶段，在进行商业性生产或使用前，将研究成果或其他知识应用于某项计划或设计，以生产出新的或具有实质性改进的材料、装置、产品等阶段。</w:t>
      </w:r>
    </w:p>
    <w:p w:rsidR="00A2119D" w:rsidRPr="00A3576E" w:rsidRDefault="00A2119D" w:rsidP="00A3576E">
      <w:pPr>
        <w:pStyle w:val="a3"/>
        <w:spacing w:before="0" w:beforeAutospacing="0" w:after="0" w:afterAutospacing="0" w:line="360" w:lineRule="auto"/>
        <w:ind w:firstLine="420"/>
        <w:jc w:val="both"/>
        <w:divId w:val="1827503755"/>
        <w:rPr>
          <w:rFonts w:cs="Times New Roman"/>
          <w:color w:val="000000"/>
          <w:sz w:val="21"/>
          <w:szCs w:val="21"/>
        </w:rPr>
      </w:pPr>
      <w:r>
        <w:rPr>
          <w:rFonts w:cs="Times New Roman" w:hint="eastAsia"/>
          <w:color w:val="000000"/>
          <w:sz w:val="21"/>
          <w:szCs w:val="21"/>
        </w:rPr>
        <w:t>公司根据上述划分研究阶段、开发阶段的标准，归集相应阶段的支出。研究阶段发生的支出应当于发生时计入当期损益；开发阶段的支出，在同时满足下列条件时，确认为无形资产：</w:t>
      </w:r>
    </w:p>
    <w:p w:rsidR="00A2119D" w:rsidRPr="00A3576E" w:rsidRDefault="00A2119D" w:rsidP="00A3576E">
      <w:pPr>
        <w:pStyle w:val="a3"/>
        <w:spacing w:before="0" w:beforeAutospacing="0" w:after="0" w:afterAutospacing="0" w:line="360" w:lineRule="auto"/>
        <w:ind w:firstLine="420"/>
        <w:jc w:val="both"/>
        <w:divId w:val="1827503755"/>
        <w:rPr>
          <w:rFonts w:cs="Times New Roman"/>
          <w:color w:val="000000"/>
          <w:sz w:val="21"/>
          <w:szCs w:val="21"/>
        </w:rPr>
      </w:pPr>
      <w:r w:rsidRPr="00A3576E">
        <w:rPr>
          <w:rFonts w:cs="Times New Roman" w:hint="eastAsia"/>
          <w:color w:val="000000"/>
          <w:sz w:val="21"/>
          <w:szCs w:val="21"/>
        </w:rPr>
        <w:t>①</w:t>
      </w:r>
      <w:r>
        <w:rPr>
          <w:rFonts w:cs="Times New Roman" w:hint="eastAsia"/>
          <w:color w:val="000000"/>
          <w:sz w:val="21"/>
          <w:szCs w:val="21"/>
        </w:rPr>
        <w:t>完成该无形资产以使其能够使用或出售在技术上具有可行性。</w:t>
      </w:r>
    </w:p>
    <w:p w:rsidR="00A2119D" w:rsidRPr="00A3576E" w:rsidRDefault="00A2119D" w:rsidP="00A3576E">
      <w:pPr>
        <w:pStyle w:val="a3"/>
        <w:spacing w:before="0" w:beforeAutospacing="0" w:after="0" w:afterAutospacing="0" w:line="360" w:lineRule="auto"/>
        <w:ind w:firstLine="420"/>
        <w:jc w:val="both"/>
        <w:divId w:val="1827503755"/>
        <w:rPr>
          <w:rFonts w:cs="Times New Roman"/>
          <w:color w:val="000000"/>
          <w:sz w:val="21"/>
          <w:szCs w:val="21"/>
        </w:rPr>
      </w:pPr>
      <w:r w:rsidRPr="00A3576E">
        <w:rPr>
          <w:rFonts w:cs="Times New Roman" w:hint="eastAsia"/>
          <w:color w:val="000000"/>
          <w:sz w:val="21"/>
          <w:szCs w:val="21"/>
        </w:rPr>
        <w:t>②</w:t>
      </w:r>
      <w:r>
        <w:rPr>
          <w:rFonts w:cs="Times New Roman" w:hint="eastAsia"/>
          <w:color w:val="000000"/>
          <w:sz w:val="21"/>
          <w:szCs w:val="21"/>
        </w:rPr>
        <w:t>具有完成该无形资产并使用或出售的意图。</w:t>
      </w:r>
    </w:p>
    <w:p w:rsidR="00A2119D" w:rsidRPr="00A3576E" w:rsidRDefault="00A2119D" w:rsidP="00A3576E">
      <w:pPr>
        <w:pStyle w:val="a3"/>
        <w:spacing w:before="0" w:beforeAutospacing="0" w:after="0" w:afterAutospacing="0" w:line="360" w:lineRule="auto"/>
        <w:ind w:firstLine="420"/>
        <w:jc w:val="both"/>
        <w:divId w:val="1827503755"/>
        <w:rPr>
          <w:rFonts w:cs="Times New Roman"/>
          <w:color w:val="000000"/>
          <w:sz w:val="21"/>
          <w:szCs w:val="21"/>
        </w:rPr>
      </w:pPr>
      <w:r w:rsidRPr="00A3576E">
        <w:rPr>
          <w:rFonts w:cs="Times New Roman" w:hint="eastAsia"/>
          <w:color w:val="000000"/>
          <w:sz w:val="21"/>
          <w:szCs w:val="21"/>
        </w:rPr>
        <w:t>③</w:t>
      </w:r>
      <w:r>
        <w:rPr>
          <w:rFonts w:cs="Times New Roman" w:hint="eastAsia"/>
          <w:color w:val="000000"/>
          <w:sz w:val="21"/>
          <w:szCs w:val="21"/>
        </w:rPr>
        <w:t>无形资产产生未来经济利益的方式，包括能够证明运用该无形资产生产的产品存在市场或无形资产自身存在市场；无形资产将在内部使用时，证明其有用性。</w:t>
      </w:r>
    </w:p>
    <w:p w:rsidR="00A2119D" w:rsidRPr="00A3576E" w:rsidRDefault="00A2119D" w:rsidP="00A3576E">
      <w:pPr>
        <w:pStyle w:val="a3"/>
        <w:spacing w:before="0" w:beforeAutospacing="0" w:after="0" w:afterAutospacing="0" w:line="360" w:lineRule="auto"/>
        <w:ind w:firstLine="420"/>
        <w:jc w:val="both"/>
        <w:divId w:val="1827503755"/>
        <w:rPr>
          <w:rFonts w:cs="Times New Roman"/>
          <w:color w:val="000000"/>
          <w:sz w:val="21"/>
          <w:szCs w:val="21"/>
        </w:rPr>
      </w:pPr>
      <w:r w:rsidRPr="00A3576E">
        <w:rPr>
          <w:rFonts w:cs="Times New Roman" w:hint="eastAsia"/>
          <w:color w:val="000000"/>
          <w:sz w:val="21"/>
          <w:szCs w:val="21"/>
        </w:rPr>
        <w:t>④</w:t>
      </w:r>
      <w:r>
        <w:rPr>
          <w:rFonts w:cs="Times New Roman" w:hint="eastAsia"/>
          <w:color w:val="000000"/>
          <w:sz w:val="21"/>
          <w:szCs w:val="21"/>
        </w:rPr>
        <w:t>有足够的技术、财务资源和其他资源支持，以完成该无形资产的开发，并有能力使用或出售该无形资产。</w:t>
      </w:r>
    </w:p>
    <w:p w:rsidR="00A2119D" w:rsidRPr="00A3576E" w:rsidRDefault="00A2119D" w:rsidP="00A3576E">
      <w:pPr>
        <w:pStyle w:val="a3"/>
        <w:spacing w:before="0" w:beforeAutospacing="0" w:after="0" w:afterAutospacing="0" w:line="360" w:lineRule="auto"/>
        <w:ind w:firstLine="420"/>
        <w:jc w:val="both"/>
        <w:divId w:val="1827503755"/>
        <w:rPr>
          <w:rFonts w:cs="Times New Roman"/>
          <w:color w:val="000000"/>
          <w:sz w:val="21"/>
          <w:szCs w:val="21"/>
        </w:rPr>
      </w:pPr>
      <w:r w:rsidRPr="00A3576E">
        <w:rPr>
          <w:rFonts w:cs="Times New Roman" w:hint="eastAsia"/>
          <w:color w:val="000000"/>
          <w:sz w:val="21"/>
          <w:szCs w:val="21"/>
        </w:rPr>
        <w:t>⑤</w:t>
      </w:r>
      <w:r>
        <w:rPr>
          <w:rFonts w:cs="Times New Roman" w:hint="eastAsia"/>
          <w:color w:val="000000"/>
          <w:sz w:val="21"/>
          <w:szCs w:val="21"/>
        </w:rPr>
        <w:t>归属于该无形资产开发阶段的支出能够可靠计量。</w:t>
      </w:r>
    </w:p>
    <w:p w:rsidR="00A27D66" w:rsidRDefault="00A2119D">
      <w:pPr>
        <w:pStyle w:val="3"/>
        <w:spacing w:line="280" w:lineRule="exact"/>
        <w:jc w:val="left"/>
        <w:rPr>
          <w:rFonts w:ascii="宋体" w:hAnsi="宋体" w:cs="宋体"/>
          <w:b/>
          <w:bCs/>
        </w:rPr>
      </w:pPr>
      <w:bookmarkStart w:id="201" w:name="_Toc989085"/>
      <w:r>
        <w:rPr>
          <w:rFonts w:ascii="宋体" w:hAnsi="宋体" w:cs="宋体"/>
          <w:b/>
          <w:bCs/>
        </w:rPr>
        <w:t>30、长期资产减值</w:t>
      </w:r>
      <w:bookmarkEnd w:id="201"/>
    </w:p>
    <w:p w:rsidR="00A2119D" w:rsidRPr="00A3576E" w:rsidRDefault="00A2119D" w:rsidP="00A3576E">
      <w:pPr>
        <w:pStyle w:val="a3"/>
        <w:spacing w:before="0" w:beforeAutospacing="0" w:after="0" w:afterAutospacing="0" w:line="360" w:lineRule="auto"/>
        <w:ind w:firstLine="420"/>
        <w:jc w:val="both"/>
        <w:divId w:val="1374311981"/>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1</w:t>
      </w:r>
      <w:r>
        <w:rPr>
          <w:rFonts w:cs="Times New Roman" w:hint="eastAsia"/>
          <w:color w:val="000000"/>
          <w:sz w:val="21"/>
          <w:szCs w:val="21"/>
        </w:rPr>
        <w:t>）长期资产的适用范围</w:t>
      </w:r>
    </w:p>
    <w:p w:rsidR="00A2119D" w:rsidRPr="00A3576E" w:rsidRDefault="00A2119D" w:rsidP="00A3576E">
      <w:pPr>
        <w:pStyle w:val="a3"/>
        <w:spacing w:before="0" w:beforeAutospacing="0" w:after="0" w:afterAutospacing="0" w:line="360" w:lineRule="auto"/>
        <w:ind w:firstLine="420"/>
        <w:jc w:val="both"/>
        <w:divId w:val="1374311981"/>
        <w:rPr>
          <w:rFonts w:cs="Times New Roman"/>
          <w:color w:val="000000"/>
          <w:sz w:val="21"/>
          <w:szCs w:val="21"/>
        </w:rPr>
      </w:pPr>
      <w:r>
        <w:rPr>
          <w:rFonts w:cs="Times New Roman" w:hint="eastAsia"/>
          <w:color w:val="000000"/>
          <w:sz w:val="21"/>
          <w:szCs w:val="21"/>
        </w:rPr>
        <w:t>资产减值主要包括长期股权投资、采用成本模式进行后续计量的投资性房地产、固定资产、在建工程、无形资产（包括资本化的开发支出）、使用权资产以及商誉等。</w:t>
      </w:r>
    </w:p>
    <w:p w:rsidR="00A2119D" w:rsidRPr="00A3576E" w:rsidRDefault="00A2119D" w:rsidP="00A3576E">
      <w:pPr>
        <w:pStyle w:val="a3"/>
        <w:spacing w:before="0" w:beforeAutospacing="0" w:after="0" w:afterAutospacing="0" w:line="360" w:lineRule="auto"/>
        <w:ind w:firstLine="420"/>
        <w:jc w:val="both"/>
        <w:divId w:val="1374311981"/>
        <w:rPr>
          <w:rFonts w:cs="Times New Roman"/>
          <w:color w:val="000000"/>
          <w:sz w:val="21"/>
          <w:szCs w:val="21"/>
        </w:rPr>
      </w:pPr>
      <w:r>
        <w:rPr>
          <w:rFonts w:cs="Times New Roman" w:hint="eastAsia"/>
          <w:color w:val="000000"/>
          <w:sz w:val="21"/>
          <w:szCs w:val="21"/>
        </w:rPr>
        <w:lastRenderedPageBreak/>
        <w:t>（</w:t>
      </w:r>
      <w:r w:rsidRPr="00A3576E">
        <w:rPr>
          <w:rFonts w:cs="Times New Roman"/>
          <w:color w:val="000000"/>
          <w:sz w:val="21"/>
          <w:szCs w:val="21"/>
        </w:rPr>
        <w:t>2</w:t>
      </w:r>
      <w:r>
        <w:rPr>
          <w:rFonts w:cs="Times New Roman" w:hint="eastAsia"/>
          <w:color w:val="000000"/>
          <w:sz w:val="21"/>
          <w:szCs w:val="21"/>
        </w:rPr>
        <w:t>）长期资产的减值测试方法及会计处理方法</w:t>
      </w:r>
    </w:p>
    <w:p w:rsidR="00A2119D" w:rsidRPr="00A3576E" w:rsidRDefault="00A2119D" w:rsidP="00A3576E">
      <w:pPr>
        <w:pStyle w:val="a3"/>
        <w:spacing w:before="0" w:beforeAutospacing="0" w:after="0" w:afterAutospacing="0" w:line="360" w:lineRule="auto"/>
        <w:ind w:firstLine="420"/>
        <w:jc w:val="both"/>
        <w:divId w:val="1374311981"/>
        <w:rPr>
          <w:rFonts w:cs="Times New Roman"/>
          <w:color w:val="000000"/>
          <w:sz w:val="21"/>
          <w:szCs w:val="21"/>
        </w:rPr>
      </w:pPr>
      <w:r>
        <w:rPr>
          <w:rFonts w:cs="Times New Roman" w:hint="eastAsia"/>
          <w:color w:val="000000"/>
          <w:sz w:val="21"/>
          <w:szCs w:val="21"/>
        </w:rPr>
        <w:t>在资产负债表日，公司判断长期资产是否存在可能发生减值的迹象，若存在减值迹象的，则进行减值测试。因企业合并所形成的商誉和使用寿命不确定的无形资产，无论是否存在减值迹象，每年均进行减值测试。</w:t>
      </w:r>
    </w:p>
    <w:p w:rsidR="00A2119D" w:rsidRPr="00A3576E" w:rsidRDefault="00A2119D" w:rsidP="00A3576E">
      <w:pPr>
        <w:pStyle w:val="a3"/>
        <w:spacing w:before="0" w:beforeAutospacing="0" w:after="0" w:afterAutospacing="0" w:line="360" w:lineRule="auto"/>
        <w:ind w:firstLine="420"/>
        <w:jc w:val="both"/>
        <w:divId w:val="1374311981"/>
        <w:rPr>
          <w:rFonts w:cs="Times New Roman"/>
          <w:color w:val="000000"/>
          <w:sz w:val="21"/>
          <w:szCs w:val="21"/>
        </w:rPr>
      </w:pPr>
      <w:r>
        <w:rPr>
          <w:rFonts w:cs="Times New Roman" w:hint="eastAsia"/>
          <w:color w:val="000000"/>
          <w:sz w:val="21"/>
          <w:szCs w:val="21"/>
        </w:rPr>
        <w:t>公司以单项资产为基础估计其可收回金额；难以对单项资产的可收回金额进行估计的，以该资产所属的资产组为基础确定资产组的可收回金额。资产组的认定，以资产</w:t>
      </w:r>
      <w:proofErr w:type="gramStart"/>
      <w:r>
        <w:rPr>
          <w:rFonts w:cs="Times New Roman" w:hint="eastAsia"/>
          <w:color w:val="000000"/>
          <w:sz w:val="21"/>
          <w:szCs w:val="21"/>
        </w:rPr>
        <w:t>组产生</w:t>
      </w:r>
      <w:proofErr w:type="gramEnd"/>
      <w:r>
        <w:rPr>
          <w:rFonts w:cs="Times New Roman" w:hint="eastAsia"/>
          <w:color w:val="000000"/>
          <w:sz w:val="21"/>
          <w:szCs w:val="21"/>
        </w:rPr>
        <w:t>的主要现金流入是否独立于其他资产或者资产组的现金流入为依据。可收回金额根据资产的公允价值减去处置费用后的净额与资产预计未来现金流量的现值两者之间较高者确定。可收回金额的计量结果表明，资产的可收回金额低于其账面价值的，将资产的账面价值</w:t>
      </w:r>
      <w:proofErr w:type="gramStart"/>
      <w:r>
        <w:rPr>
          <w:rFonts w:cs="Times New Roman" w:hint="eastAsia"/>
          <w:color w:val="000000"/>
          <w:sz w:val="21"/>
          <w:szCs w:val="21"/>
        </w:rPr>
        <w:t>减记至</w:t>
      </w:r>
      <w:proofErr w:type="gramEnd"/>
      <w:r>
        <w:rPr>
          <w:rFonts w:cs="Times New Roman" w:hint="eastAsia"/>
          <w:color w:val="000000"/>
          <w:sz w:val="21"/>
          <w:szCs w:val="21"/>
        </w:rPr>
        <w:t>可收回金额，</w:t>
      </w:r>
      <w:proofErr w:type="gramStart"/>
      <w:r>
        <w:rPr>
          <w:rFonts w:cs="Times New Roman" w:hint="eastAsia"/>
          <w:color w:val="000000"/>
          <w:sz w:val="21"/>
          <w:szCs w:val="21"/>
        </w:rPr>
        <w:t>减记的</w:t>
      </w:r>
      <w:proofErr w:type="gramEnd"/>
      <w:r>
        <w:rPr>
          <w:rFonts w:cs="Times New Roman" w:hint="eastAsia"/>
          <w:color w:val="000000"/>
          <w:sz w:val="21"/>
          <w:szCs w:val="21"/>
        </w:rPr>
        <w:t>金额确认为资产减值损失，计入当期损益，同时计提相应的资产减值准备。资产减值损失确认后，减值资产的折旧或者摊销费用在未来期间作相应调整，以使该资产在剩余使用寿命内，系统地分摊调整后的资产账面价值（扣除预计净残值）。</w:t>
      </w:r>
    </w:p>
    <w:p w:rsidR="00A2119D" w:rsidRPr="00A3576E" w:rsidRDefault="00A2119D" w:rsidP="00A3576E">
      <w:pPr>
        <w:pStyle w:val="a3"/>
        <w:spacing w:before="0" w:beforeAutospacing="0" w:after="0" w:afterAutospacing="0" w:line="360" w:lineRule="auto"/>
        <w:ind w:firstLine="420"/>
        <w:jc w:val="both"/>
        <w:divId w:val="1374311981"/>
        <w:rPr>
          <w:rFonts w:cs="Times New Roman"/>
          <w:color w:val="000000"/>
          <w:sz w:val="21"/>
          <w:szCs w:val="21"/>
        </w:rPr>
      </w:pPr>
      <w:r>
        <w:rPr>
          <w:rFonts w:cs="Times New Roman" w:hint="eastAsia"/>
          <w:color w:val="000000"/>
          <w:sz w:val="21"/>
          <w:szCs w:val="21"/>
        </w:rPr>
        <w:t>对于因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公司确定的报告分部。</w:t>
      </w:r>
    </w:p>
    <w:p w:rsidR="00A2119D" w:rsidRPr="00A3576E" w:rsidRDefault="00A2119D" w:rsidP="00A3576E">
      <w:pPr>
        <w:pStyle w:val="a3"/>
        <w:spacing w:before="0" w:beforeAutospacing="0" w:after="0" w:afterAutospacing="0" w:line="360" w:lineRule="auto"/>
        <w:ind w:firstLine="420"/>
        <w:jc w:val="both"/>
        <w:divId w:val="1374311981"/>
        <w:rPr>
          <w:rFonts w:cs="Times New Roman"/>
          <w:color w:val="000000"/>
          <w:sz w:val="21"/>
          <w:szCs w:val="21"/>
        </w:rPr>
      </w:pPr>
      <w:r>
        <w:rPr>
          <w:rFonts w:cs="Times New Roman" w:hint="eastAsia"/>
          <w:color w:val="000000"/>
          <w:sz w:val="21"/>
          <w:szCs w:val="21"/>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w:t>
      </w:r>
      <w:proofErr w:type="gramStart"/>
      <w:r>
        <w:rPr>
          <w:rFonts w:cs="Times New Roman" w:hint="eastAsia"/>
          <w:color w:val="000000"/>
          <w:sz w:val="21"/>
          <w:szCs w:val="21"/>
        </w:rPr>
        <w:t>与其可</w:t>
      </w:r>
      <w:proofErr w:type="gramEnd"/>
      <w:r>
        <w:rPr>
          <w:rFonts w:cs="Times New Roman" w:hint="eastAsia"/>
          <w:color w:val="000000"/>
          <w:sz w:val="21"/>
          <w:szCs w:val="21"/>
        </w:rPr>
        <w:t>收回金额，如相关资产组或者资产组组合的可收回金额低于其账面价值的，确认商誉的减值损失。</w:t>
      </w:r>
    </w:p>
    <w:p w:rsidR="00A2119D" w:rsidRPr="00A3576E" w:rsidRDefault="00A2119D" w:rsidP="00A3576E">
      <w:pPr>
        <w:pStyle w:val="a3"/>
        <w:spacing w:before="0" w:beforeAutospacing="0" w:after="0" w:afterAutospacing="0" w:line="360" w:lineRule="auto"/>
        <w:ind w:firstLine="420"/>
        <w:jc w:val="both"/>
        <w:divId w:val="1374311981"/>
        <w:rPr>
          <w:rFonts w:cs="Times New Roman"/>
          <w:color w:val="000000"/>
          <w:sz w:val="21"/>
          <w:szCs w:val="21"/>
        </w:rPr>
      </w:pPr>
      <w:r>
        <w:rPr>
          <w:rFonts w:cs="Times New Roman" w:hint="eastAsia"/>
          <w:color w:val="000000"/>
          <w:sz w:val="21"/>
          <w:szCs w:val="21"/>
        </w:rPr>
        <w:t>上述资产减值损失一经确认，以后期间不予转回价值得以恢复的部分。</w:t>
      </w:r>
    </w:p>
    <w:p w:rsidR="00A27D66" w:rsidRDefault="00A2119D">
      <w:pPr>
        <w:pStyle w:val="3"/>
        <w:spacing w:line="280" w:lineRule="exact"/>
        <w:jc w:val="left"/>
        <w:rPr>
          <w:rFonts w:ascii="宋体" w:hAnsi="宋体" w:cs="宋体"/>
          <w:b/>
          <w:bCs/>
        </w:rPr>
      </w:pPr>
      <w:bookmarkStart w:id="202" w:name="_Toc989086"/>
      <w:r>
        <w:rPr>
          <w:rFonts w:ascii="宋体" w:hAnsi="宋体" w:cs="宋体"/>
          <w:b/>
          <w:bCs/>
        </w:rPr>
        <w:t>31、长期待摊费用</w:t>
      </w:r>
      <w:bookmarkEnd w:id="202"/>
    </w:p>
    <w:p w:rsidR="00A2119D" w:rsidRPr="00A3576E" w:rsidRDefault="00A2119D" w:rsidP="00A3576E">
      <w:pPr>
        <w:pStyle w:val="a3"/>
        <w:spacing w:before="0" w:beforeAutospacing="0" w:after="0" w:afterAutospacing="0" w:line="360" w:lineRule="auto"/>
        <w:ind w:firstLine="420"/>
        <w:jc w:val="both"/>
        <w:divId w:val="190149388"/>
        <w:rPr>
          <w:rFonts w:cs="Times New Roman"/>
          <w:color w:val="000000"/>
          <w:sz w:val="21"/>
          <w:szCs w:val="21"/>
        </w:rPr>
      </w:pPr>
      <w:r w:rsidRPr="00A3576E">
        <w:rPr>
          <w:rFonts w:cs="Times New Roman" w:hint="eastAsia"/>
          <w:color w:val="000000"/>
          <w:sz w:val="21"/>
          <w:szCs w:val="21"/>
        </w:rPr>
        <w:t>长期待摊费用是公司已经发生但应由本期和以后各期分担的分摊期限在一年以上的各项费用，以实际发生的支出入账并在其预计受益期内按直线法平均法进行摊销。如果长期待摊费用项目不能使以后会计期间受益的，则将尚未摊销的该项目的摊余价值全部转入当期损益。</w:t>
      </w:r>
    </w:p>
    <w:p w:rsidR="00A27D66" w:rsidRDefault="00A2119D">
      <w:pPr>
        <w:pStyle w:val="3"/>
        <w:spacing w:line="280" w:lineRule="exact"/>
        <w:jc w:val="left"/>
        <w:rPr>
          <w:rFonts w:ascii="宋体" w:hAnsi="宋体" w:cs="宋体"/>
          <w:b/>
          <w:bCs/>
        </w:rPr>
      </w:pPr>
      <w:bookmarkStart w:id="203" w:name="_Toc989087"/>
      <w:r>
        <w:rPr>
          <w:rFonts w:ascii="宋体" w:hAnsi="宋体" w:cs="宋体"/>
          <w:b/>
          <w:bCs/>
        </w:rPr>
        <w:t>32、合同负债</w:t>
      </w:r>
      <w:bookmarkEnd w:id="203"/>
    </w:p>
    <w:p w:rsidR="00A2119D" w:rsidRPr="00A3576E" w:rsidRDefault="00A2119D" w:rsidP="00A3576E">
      <w:pPr>
        <w:pStyle w:val="a3"/>
        <w:spacing w:before="0" w:beforeAutospacing="0" w:after="0" w:afterAutospacing="0" w:line="360" w:lineRule="auto"/>
        <w:ind w:firstLine="420"/>
        <w:jc w:val="both"/>
        <w:divId w:val="825170534"/>
        <w:rPr>
          <w:rFonts w:cs="Times New Roman"/>
          <w:color w:val="000000"/>
          <w:sz w:val="21"/>
          <w:szCs w:val="21"/>
        </w:rPr>
      </w:pPr>
      <w:r w:rsidRPr="00A3576E">
        <w:rPr>
          <w:rFonts w:cs="Times New Roman" w:hint="eastAsia"/>
          <w:color w:val="000000"/>
          <w:sz w:val="21"/>
          <w:szCs w:val="21"/>
        </w:rPr>
        <w:t>本公司已收客户对价而应向客户转让商品或提供服务的义务列示为合同负债。合同资产和合同负债在资产负债表中单独列示。同一合同下的合同资产和合同负债以净额列示，净额为借方余额的，根据其</w:t>
      </w:r>
      <w:r w:rsidRPr="00A3576E">
        <w:rPr>
          <w:rFonts w:cs="Times New Roman" w:hint="eastAsia"/>
          <w:color w:val="000000"/>
          <w:sz w:val="21"/>
          <w:szCs w:val="21"/>
        </w:rPr>
        <w:lastRenderedPageBreak/>
        <w:t>流动性在“合同资产”或“其他非流动资产”项目中列示；净额为贷方余额的，根据其流动性在“合同负债”或“其他非流动负债”项目中列示。不同合同下的合同资产和合同负债不能相互</w:t>
      </w:r>
      <w:proofErr w:type="gramStart"/>
      <w:r w:rsidRPr="00A3576E">
        <w:rPr>
          <w:rFonts w:cs="Times New Roman" w:hint="eastAsia"/>
          <w:color w:val="000000"/>
          <w:sz w:val="21"/>
          <w:szCs w:val="21"/>
        </w:rPr>
        <w:t>抵销</w:t>
      </w:r>
      <w:proofErr w:type="gramEnd"/>
      <w:r w:rsidRPr="00A3576E">
        <w:rPr>
          <w:rFonts w:cs="Times New Roman" w:hint="eastAsia"/>
          <w:color w:val="000000"/>
          <w:sz w:val="21"/>
          <w:szCs w:val="21"/>
        </w:rPr>
        <w:t>。</w:t>
      </w:r>
    </w:p>
    <w:p w:rsidR="00A27D66" w:rsidRDefault="00A2119D">
      <w:pPr>
        <w:pStyle w:val="3"/>
        <w:spacing w:line="280" w:lineRule="exact"/>
        <w:jc w:val="left"/>
        <w:rPr>
          <w:rFonts w:ascii="宋体" w:hAnsi="宋体" w:cs="宋体"/>
          <w:b/>
          <w:bCs/>
        </w:rPr>
      </w:pPr>
      <w:bookmarkStart w:id="204" w:name="_Toc989088"/>
      <w:r>
        <w:rPr>
          <w:rFonts w:ascii="宋体" w:hAnsi="宋体" w:cs="宋体"/>
          <w:b/>
          <w:bCs/>
        </w:rPr>
        <w:t>33、职工薪</w:t>
      </w:r>
      <w:proofErr w:type="gramStart"/>
      <w:r>
        <w:rPr>
          <w:rFonts w:ascii="宋体" w:hAnsi="宋体" w:cs="宋体"/>
          <w:b/>
          <w:bCs/>
        </w:rPr>
        <w:t>酬</w:t>
      </w:r>
      <w:bookmarkEnd w:id="204"/>
      <w:proofErr w:type="gramEnd"/>
    </w:p>
    <w:p w:rsidR="00A27D66" w:rsidRDefault="00A2119D">
      <w:pPr>
        <w:keepNext/>
        <w:keepLines/>
        <w:spacing w:before="300" w:after="300" w:line="280" w:lineRule="exact"/>
        <w:outlineLvl w:val="3"/>
        <w:rPr>
          <w:rFonts w:ascii="宋体" w:eastAsia="宋体" w:hAnsi="宋体" w:cs="宋体"/>
          <w:b/>
          <w:bCs/>
          <w:szCs w:val="21"/>
        </w:rPr>
      </w:pPr>
      <w:bookmarkStart w:id="205" w:name="_Toc989089"/>
      <w:r>
        <w:rPr>
          <w:rFonts w:ascii="宋体" w:eastAsia="宋体" w:hAnsi="宋体" w:cs="宋体"/>
          <w:b/>
          <w:bCs/>
          <w:szCs w:val="21"/>
        </w:rPr>
        <w:t>（1） 短期薪酬的会计处理方法</w:t>
      </w:r>
      <w:bookmarkEnd w:id="205"/>
    </w:p>
    <w:p w:rsidR="00A2119D" w:rsidRPr="00A3576E" w:rsidRDefault="00A2119D" w:rsidP="00A3576E">
      <w:pPr>
        <w:pStyle w:val="a3"/>
        <w:spacing w:before="0" w:beforeAutospacing="0" w:after="0" w:afterAutospacing="0" w:line="360" w:lineRule="auto"/>
        <w:ind w:firstLine="420"/>
        <w:jc w:val="both"/>
        <w:divId w:val="971131389"/>
        <w:rPr>
          <w:rFonts w:cs="Times New Roman"/>
          <w:color w:val="000000"/>
          <w:sz w:val="21"/>
          <w:szCs w:val="21"/>
        </w:rPr>
      </w:pPr>
      <w:r>
        <w:rPr>
          <w:rFonts w:cs="Times New Roman" w:hint="eastAsia"/>
          <w:color w:val="000000"/>
          <w:sz w:val="21"/>
          <w:szCs w:val="21"/>
        </w:rPr>
        <w:t>本公司在职工提供相关服务的会计期间，将实际发生的职工工资、奖金、津贴和补贴，职工福利费，医疗保险费、工伤保险费和生育保险费等社会保险费，住房公积金，工会经费和职工教育经费等确认为负债，并计入当期损益或相关资产成本。如果该负债预期在职工提供相关服务的年度报告期结束后十二个月内不能完全支付，且财务影响重大的，则该负债将以折现后的金额计量。</w:t>
      </w:r>
    </w:p>
    <w:p w:rsidR="00A27D66" w:rsidRDefault="00A2119D">
      <w:pPr>
        <w:keepNext/>
        <w:keepLines/>
        <w:spacing w:before="300" w:after="300" w:line="280" w:lineRule="exact"/>
        <w:outlineLvl w:val="3"/>
        <w:rPr>
          <w:rFonts w:ascii="宋体" w:eastAsia="宋体" w:hAnsi="宋体" w:cs="宋体"/>
          <w:b/>
          <w:bCs/>
          <w:szCs w:val="21"/>
        </w:rPr>
      </w:pPr>
      <w:bookmarkStart w:id="206" w:name="_Toc989090"/>
      <w:r>
        <w:rPr>
          <w:rFonts w:ascii="宋体" w:eastAsia="宋体" w:hAnsi="宋体" w:cs="宋体"/>
          <w:b/>
          <w:bCs/>
          <w:szCs w:val="21"/>
        </w:rPr>
        <w:t>（2） 离职后福利的会计处理方法</w:t>
      </w:r>
      <w:bookmarkEnd w:id="206"/>
    </w:p>
    <w:p w:rsidR="00A2119D" w:rsidRPr="00A3576E" w:rsidRDefault="00A2119D" w:rsidP="00A3576E">
      <w:pPr>
        <w:pStyle w:val="a3"/>
        <w:spacing w:before="0" w:beforeAutospacing="0" w:after="0" w:afterAutospacing="0" w:line="360" w:lineRule="auto"/>
        <w:ind w:firstLine="420"/>
        <w:jc w:val="both"/>
        <w:divId w:val="361245898"/>
        <w:rPr>
          <w:rFonts w:cs="Times New Roman"/>
          <w:color w:val="000000"/>
          <w:sz w:val="21"/>
          <w:szCs w:val="21"/>
        </w:rPr>
      </w:pPr>
      <w:r>
        <w:rPr>
          <w:rFonts w:cs="Times New Roman" w:hint="eastAsia"/>
          <w:color w:val="000000"/>
          <w:sz w:val="21"/>
          <w:szCs w:val="21"/>
        </w:rPr>
        <w:t>离职后福利，是指为获得职工提供的服务而在职工退休或与企业解除劳动关系后，提供的各种形式的报酬和福利，短期</w:t>
      </w:r>
      <w:proofErr w:type="gramStart"/>
      <w:r>
        <w:rPr>
          <w:rFonts w:cs="Times New Roman" w:hint="eastAsia"/>
          <w:color w:val="000000"/>
          <w:sz w:val="21"/>
          <w:szCs w:val="21"/>
        </w:rPr>
        <w:t>薪</w:t>
      </w:r>
      <w:proofErr w:type="gramEnd"/>
      <w:r>
        <w:rPr>
          <w:rFonts w:cs="Times New Roman" w:hint="eastAsia"/>
          <w:color w:val="000000"/>
          <w:sz w:val="21"/>
          <w:szCs w:val="21"/>
        </w:rPr>
        <w:t>酬和辞退福利除外。本公司将离职后福利计划分类为设定提存计划和设定受益计划。</w:t>
      </w:r>
    </w:p>
    <w:p w:rsidR="00A2119D" w:rsidRPr="00A3576E" w:rsidRDefault="00A2119D" w:rsidP="00A3576E">
      <w:pPr>
        <w:pStyle w:val="a3"/>
        <w:spacing w:before="0" w:beforeAutospacing="0" w:after="0" w:afterAutospacing="0" w:line="360" w:lineRule="auto"/>
        <w:ind w:firstLine="420"/>
        <w:jc w:val="both"/>
        <w:divId w:val="361245898"/>
        <w:rPr>
          <w:rFonts w:cs="Times New Roman"/>
          <w:color w:val="000000"/>
          <w:sz w:val="21"/>
          <w:szCs w:val="21"/>
        </w:rPr>
      </w:pPr>
      <w:r>
        <w:rPr>
          <w:rFonts w:cs="Times New Roman" w:hint="eastAsia"/>
          <w:color w:val="000000"/>
          <w:sz w:val="21"/>
          <w:szCs w:val="21"/>
        </w:rPr>
        <w:t>①设定提存计划</w:t>
      </w:r>
    </w:p>
    <w:p w:rsidR="00A2119D" w:rsidRPr="00A3576E" w:rsidRDefault="00A2119D" w:rsidP="00A3576E">
      <w:pPr>
        <w:pStyle w:val="a3"/>
        <w:spacing w:before="0" w:beforeAutospacing="0" w:after="0" w:afterAutospacing="0" w:line="360" w:lineRule="auto"/>
        <w:ind w:firstLine="420"/>
        <w:jc w:val="both"/>
        <w:divId w:val="361245898"/>
        <w:rPr>
          <w:rFonts w:cs="Times New Roman"/>
          <w:color w:val="000000"/>
          <w:sz w:val="21"/>
          <w:szCs w:val="21"/>
        </w:rPr>
      </w:pPr>
      <w:r>
        <w:rPr>
          <w:rFonts w:cs="Times New Roman" w:hint="eastAsia"/>
          <w:color w:val="000000"/>
          <w:sz w:val="21"/>
          <w:szCs w:val="21"/>
        </w:rPr>
        <w:t>公司设定提存计划主要包含基本养老保险、失业保险等，在职工为其提供服务的会计期间，将根据设定提存计划计算的应缴存金额确认为负债，并计入当期损益或相关资产成本。</w:t>
      </w:r>
    </w:p>
    <w:p w:rsidR="00A2119D" w:rsidRPr="00A3576E" w:rsidRDefault="00A2119D" w:rsidP="00A3576E">
      <w:pPr>
        <w:pStyle w:val="a3"/>
        <w:spacing w:before="0" w:beforeAutospacing="0" w:after="0" w:afterAutospacing="0" w:line="360" w:lineRule="auto"/>
        <w:ind w:firstLine="420"/>
        <w:jc w:val="both"/>
        <w:divId w:val="361245898"/>
        <w:rPr>
          <w:rFonts w:cs="Times New Roman"/>
          <w:color w:val="000000"/>
          <w:sz w:val="21"/>
          <w:szCs w:val="21"/>
        </w:rPr>
      </w:pPr>
      <w:r>
        <w:rPr>
          <w:rFonts w:cs="Times New Roman" w:hint="eastAsia"/>
          <w:color w:val="000000"/>
          <w:sz w:val="21"/>
          <w:szCs w:val="21"/>
        </w:rPr>
        <w:t>②设定受益计划</w:t>
      </w:r>
    </w:p>
    <w:p w:rsidR="00A2119D" w:rsidRPr="00A3576E" w:rsidRDefault="00A2119D" w:rsidP="00A3576E">
      <w:pPr>
        <w:pStyle w:val="a3"/>
        <w:spacing w:before="0" w:beforeAutospacing="0" w:after="0" w:afterAutospacing="0" w:line="360" w:lineRule="auto"/>
        <w:ind w:firstLine="420"/>
        <w:jc w:val="both"/>
        <w:divId w:val="361245898"/>
        <w:rPr>
          <w:rFonts w:cs="Times New Roman"/>
          <w:color w:val="000000"/>
          <w:sz w:val="21"/>
          <w:szCs w:val="21"/>
        </w:rPr>
      </w:pPr>
      <w:r>
        <w:rPr>
          <w:rFonts w:cs="Times New Roman" w:hint="eastAsia"/>
          <w:color w:val="000000"/>
          <w:sz w:val="21"/>
          <w:szCs w:val="21"/>
        </w:rPr>
        <w:t>本公司设定受益计划的会计处理如下：</w:t>
      </w:r>
    </w:p>
    <w:p w:rsidR="00A2119D" w:rsidRPr="00A3576E" w:rsidRDefault="00A2119D" w:rsidP="00A3576E">
      <w:pPr>
        <w:pStyle w:val="a3"/>
        <w:spacing w:before="0" w:beforeAutospacing="0" w:after="0" w:afterAutospacing="0" w:line="360" w:lineRule="auto"/>
        <w:ind w:firstLine="420"/>
        <w:jc w:val="both"/>
        <w:divId w:val="361245898"/>
        <w:rPr>
          <w:rFonts w:cs="Times New Roman"/>
          <w:color w:val="000000"/>
          <w:sz w:val="21"/>
          <w:szCs w:val="21"/>
        </w:rPr>
      </w:pPr>
      <w:r w:rsidRPr="00A3576E">
        <w:rPr>
          <w:rFonts w:cs="Times New Roman"/>
          <w:color w:val="000000"/>
          <w:sz w:val="21"/>
          <w:szCs w:val="21"/>
        </w:rPr>
        <w:t>A.</w:t>
      </w:r>
      <w:r>
        <w:rPr>
          <w:rFonts w:cs="Times New Roman" w:hint="eastAsia"/>
          <w:color w:val="000000"/>
          <w:sz w:val="21"/>
          <w:szCs w:val="21"/>
        </w:rPr>
        <w:t>根据预期累计福利单位法，采用</w:t>
      </w:r>
      <w:proofErr w:type="gramStart"/>
      <w:r>
        <w:rPr>
          <w:rFonts w:cs="Times New Roman" w:hint="eastAsia"/>
          <w:color w:val="000000"/>
          <w:sz w:val="21"/>
          <w:szCs w:val="21"/>
        </w:rPr>
        <w:t>无偏且相互</w:t>
      </w:r>
      <w:proofErr w:type="gramEnd"/>
      <w:r>
        <w:rPr>
          <w:rFonts w:cs="Times New Roman" w:hint="eastAsia"/>
          <w:color w:val="000000"/>
          <w:sz w:val="21"/>
          <w:szCs w:val="21"/>
        </w:rPr>
        <w:t>一致的精算假设对有关人口统计变量和财务变量等</w:t>
      </w:r>
      <w:proofErr w:type="gramStart"/>
      <w:r>
        <w:rPr>
          <w:rFonts w:cs="Times New Roman" w:hint="eastAsia"/>
          <w:color w:val="000000"/>
          <w:sz w:val="21"/>
          <w:szCs w:val="21"/>
        </w:rPr>
        <w:t>作出</w:t>
      </w:r>
      <w:proofErr w:type="gramEnd"/>
      <w:r>
        <w:rPr>
          <w:rFonts w:cs="Times New Roman" w:hint="eastAsia"/>
          <w:color w:val="000000"/>
          <w:sz w:val="21"/>
          <w:szCs w:val="21"/>
        </w:rPr>
        <w:t>估计，计量设定受益计划所产生的义务，并确定相关义务的所属期间。同时，对设定受益计划所产生的义务予以折现，以确定设定受益计划义务的现值和当期服务成本；</w:t>
      </w:r>
    </w:p>
    <w:p w:rsidR="00A2119D" w:rsidRPr="00A3576E" w:rsidRDefault="00A2119D" w:rsidP="00A3576E">
      <w:pPr>
        <w:pStyle w:val="a3"/>
        <w:spacing w:before="0" w:beforeAutospacing="0" w:after="0" w:afterAutospacing="0" w:line="360" w:lineRule="auto"/>
        <w:ind w:firstLine="420"/>
        <w:jc w:val="both"/>
        <w:divId w:val="361245898"/>
        <w:rPr>
          <w:rFonts w:cs="Times New Roman"/>
          <w:color w:val="000000"/>
          <w:sz w:val="21"/>
          <w:szCs w:val="21"/>
        </w:rPr>
      </w:pPr>
      <w:r w:rsidRPr="00A3576E">
        <w:rPr>
          <w:rFonts w:cs="Times New Roman"/>
          <w:color w:val="000000"/>
          <w:sz w:val="21"/>
          <w:szCs w:val="21"/>
        </w:rPr>
        <w:t>B.</w:t>
      </w:r>
      <w:r>
        <w:rPr>
          <w:rFonts w:cs="Times New Roman" w:hint="eastAsia"/>
          <w:color w:val="000000"/>
          <w:sz w:val="21"/>
          <w:szCs w:val="21"/>
        </w:rPr>
        <w:t>设定受益计划存在资产的，将设定受益计划义务现值减去设定受益计划资产公允价值所形成的赤字或盈余确认为一项设定受益计划净负债或净资产。设定受益计划存在盈余的，以设定受益计划的盈余和资产上限两项的孰低者计量设定受益计划净资产；</w:t>
      </w:r>
    </w:p>
    <w:p w:rsidR="00A2119D" w:rsidRPr="00A3576E" w:rsidRDefault="00A2119D" w:rsidP="00A3576E">
      <w:pPr>
        <w:pStyle w:val="a3"/>
        <w:spacing w:before="0" w:beforeAutospacing="0" w:after="0" w:afterAutospacing="0" w:line="360" w:lineRule="auto"/>
        <w:ind w:firstLine="420"/>
        <w:jc w:val="both"/>
        <w:divId w:val="361245898"/>
        <w:rPr>
          <w:rFonts w:cs="Times New Roman"/>
          <w:color w:val="000000"/>
          <w:sz w:val="21"/>
          <w:szCs w:val="21"/>
        </w:rPr>
      </w:pPr>
      <w:r w:rsidRPr="00A3576E">
        <w:rPr>
          <w:rFonts w:cs="Times New Roman"/>
          <w:color w:val="000000"/>
          <w:sz w:val="21"/>
          <w:szCs w:val="21"/>
        </w:rPr>
        <w:t>C.</w:t>
      </w:r>
      <w:r>
        <w:rPr>
          <w:rFonts w:cs="Times New Roman" w:hint="eastAsia"/>
          <w:color w:val="000000"/>
          <w:sz w:val="21"/>
          <w:szCs w:val="21"/>
        </w:rPr>
        <w:t>期末将设定受益计划产生的职工薪</w:t>
      </w:r>
      <w:proofErr w:type="gramStart"/>
      <w:r>
        <w:rPr>
          <w:rFonts w:cs="Times New Roman" w:hint="eastAsia"/>
          <w:color w:val="000000"/>
          <w:sz w:val="21"/>
          <w:szCs w:val="21"/>
        </w:rPr>
        <w:t>酬</w:t>
      </w:r>
      <w:proofErr w:type="gramEnd"/>
      <w:r>
        <w:rPr>
          <w:rFonts w:cs="Times New Roman" w:hint="eastAsia"/>
          <w:color w:val="000000"/>
          <w:sz w:val="21"/>
          <w:szCs w:val="21"/>
        </w:rPr>
        <w:t>成本确认为服务成本、设定受益计划净负债或净资产的利息净额以及重新计量设定受益计划净负债或净资产所产生的变动等三部分，</w:t>
      </w:r>
      <w:proofErr w:type="gramStart"/>
      <w:r>
        <w:rPr>
          <w:rFonts w:cs="Times New Roman" w:hint="eastAsia"/>
          <w:color w:val="000000"/>
          <w:sz w:val="21"/>
          <w:szCs w:val="21"/>
        </w:rPr>
        <w:t>其中服务</w:t>
      </w:r>
      <w:proofErr w:type="gramEnd"/>
      <w:r>
        <w:rPr>
          <w:rFonts w:cs="Times New Roman" w:hint="eastAsia"/>
          <w:color w:val="000000"/>
          <w:sz w:val="21"/>
          <w:szCs w:val="21"/>
        </w:rPr>
        <w:t>成本和设定受益计划净负债或净资产的利息净额计入当期损益或相关资产成本，重新计量设定受益计划净负债或净资产所产</w:t>
      </w:r>
      <w:r>
        <w:rPr>
          <w:rFonts w:cs="Times New Roman" w:hint="eastAsia"/>
          <w:color w:val="000000"/>
          <w:sz w:val="21"/>
          <w:szCs w:val="21"/>
        </w:rPr>
        <w:lastRenderedPageBreak/>
        <w:t>生的变动计入其他综合收益，并且在后续会计期间不允许转回至损益，但可以在权益范围内转移这些在其他综合收益确认的金额。</w:t>
      </w:r>
    </w:p>
    <w:p w:rsidR="00A27D66" w:rsidRDefault="00A2119D">
      <w:pPr>
        <w:keepNext/>
        <w:keepLines/>
        <w:spacing w:before="300" w:after="300" w:line="280" w:lineRule="exact"/>
        <w:outlineLvl w:val="3"/>
        <w:rPr>
          <w:rFonts w:ascii="宋体" w:eastAsia="宋体" w:hAnsi="宋体" w:cs="宋体"/>
          <w:b/>
          <w:bCs/>
          <w:szCs w:val="21"/>
        </w:rPr>
      </w:pPr>
      <w:bookmarkStart w:id="207" w:name="_Toc989091"/>
      <w:r>
        <w:rPr>
          <w:rFonts w:ascii="宋体" w:eastAsia="宋体" w:hAnsi="宋体" w:cs="宋体"/>
          <w:b/>
          <w:bCs/>
          <w:szCs w:val="21"/>
        </w:rPr>
        <w:t>（3） 辞退福利的会计处理方法</w:t>
      </w:r>
      <w:bookmarkEnd w:id="207"/>
    </w:p>
    <w:p w:rsidR="00A2119D" w:rsidRPr="00A3576E" w:rsidRDefault="00A2119D" w:rsidP="00A3576E">
      <w:pPr>
        <w:pStyle w:val="a3"/>
        <w:spacing w:before="0" w:beforeAutospacing="0" w:after="0" w:afterAutospacing="0" w:line="360" w:lineRule="auto"/>
        <w:ind w:firstLine="420"/>
        <w:jc w:val="both"/>
        <w:divId w:val="1486386993"/>
        <w:rPr>
          <w:rFonts w:cs="Times New Roman"/>
          <w:color w:val="000000"/>
          <w:sz w:val="21"/>
          <w:szCs w:val="21"/>
        </w:rPr>
      </w:pPr>
      <w:r>
        <w:rPr>
          <w:rFonts w:cs="Times New Roman" w:hint="eastAsia"/>
          <w:color w:val="000000"/>
          <w:sz w:val="21"/>
          <w:szCs w:val="21"/>
        </w:rPr>
        <w:t>辞退福利，是指公司在职工劳动合同到期之前解除与职工的劳动关系，或者为鼓励职工自愿接受裁减而给予职工的补偿。公司向职工提供辞退福利的，在下列两者</w:t>
      </w:r>
      <w:proofErr w:type="gramStart"/>
      <w:r>
        <w:rPr>
          <w:rFonts w:cs="Times New Roman" w:hint="eastAsia"/>
          <w:color w:val="000000"/>
          <w:sz w:val="21"/>
          <w:szCs w:val="21"/>
        </w:rPr>
        <w:t>孰</w:t>
      </w:r>
      <w:proofErr w:type="gramEnd"/>
      <w:r>
        <w:rPr>
          <w:rFonts w:cs="Times New Roman" w:hint="eastAsia"/>
          <w:color w:val="000000"/>
          <w:sz w:val="21"/>
          <w:szCs w:val="21"/>
        </w:rPr>
        <w:t>早日确认辞退福利产生的职工薪</w:t>
      </w:r>
      <w:proofErr w:type="gramStart"/>
      <w:r>
        <w:rPr>
          <w:rFonts w:cs="Times New Roman" w:hint="eastAsia"/>
          <w:color w:val="000000"/>
          <w:sz w:val="21"/>
          <w:szCs w:val="21"/>
        </w:rPr>
        <w:t>酬</w:t>
      </w:r>
      <w:proofErr w:type="gramEnd"/>
      <w:r>
        <w:rPr>
          <w:rFonts w:cs="Times New Roman" w:hint="eastAsia"/>
          <w:color w:val="000000"/>
          <w:sz w:val="21"/>
          <w:szCs w:val="21"/>
        </w:rPr>
        <w:t>负债，并计入当期损益：</w:t>
      </w:r>
      <w:r w:rsidRPr="00A3576E">
        <w:rPr>
          <w:rFonts w:cs="Times New Roman" w:hint="eastAsia"/>
          <w:color w:val="000000"/>
          <w:sz w:val="21"/>
          <w:szCs w:val="21"/>
        </w:rPr>
        <w:t>①</w:t>
      </w:r>
      <w:r>
        <w:rPr>
          <w:rFonts w:cs="Times New Roman" w:hint="eastAsia"/>
          <w:color w:val="000000"/>
          <w:sz w:val="21"/>
          <w:szCs w:val="21"/>
        </w:rPr>
        <w:t>企业不能单方面撤回因解除劳动关系计划或裁减建议所提供的辞退福利时。</w:t>
      </w:r>
      <w:r w:rsidRPr="00A3576E">
        <w:rPr>
          <w:rFonts w:cs="Times New Roman" w:hint="eastAsia"/>
          <w:color w:val="000000"/>
          <w:sz w:val="21"/>
          <w:szCs w:val="21"/>
        </w:rPr>
        <w:t>②</w:t>
      </w:r>
      <w:r>
        <w:rPr>
          <w:rFonts w:cs="Times New Roman" w:hint="eastAsia"/>
          <w:color w:val="000000"/>
          <w:sz w:val="21"/>
          <w:szCs w:val="21"/>
        </w:rPr>
        <w:t>企业确认与涉及支付辞退福利的重组相关的成本或费用时。</w:t>
      </w:r>
    </w:p>
    <w:p w:rsidR="00A27D66" w:rsidRDefault="00A2119D">
      <w:pPr>
        <w:keepNext/>
        <w:keepLines/>
        <w:spacing w:before="300" w:after="300" w:line="280" w:lineRule="exact"/>
        <w:outlineLvl w:val="3"/>
        <w:rPr>
          <w:rFonts w:ascii="宋体" w:eastAsia="宋体" w:hAnsi="宋体" w:cs="宋体"/>
          <w:b/>
          <w:bCs/>
          <w:szCs w:val="21"/>
        </w:rPr>
      </w:pPr>
      <w:bookmarkStart w:id="208" w:name="_Toc989092"/>
      <w:r>
        <w:rPr>
          <w:rFonts w:ascii="宋体" w:eastAsia="宋体" w:hAnsi="宋体" w:cs="宋体"/>
          <w:b/>
          <w:bCs/>
          <w:szCs w:val="21"/>
        </w:rPr>
        <w:t>（4） 其他长期职工福利的会计处理方法</w:t>
      </w:r>
      <w:bookmarkEnd w:id="208"/>
    </w:p>
    <w:p w:rsidR="00A2119D" w:rsidRPr="00A3576E" w:rsidRDefault="00A2119D" w:rsidP="00A3576E">
      <w:pPr>
        <w:pStyle w:val="a3"/>
        <w:spacing w:before="0" w:beforeAutospacing="0" w:after="0" w:afterAutospacing="0" w:line="360" w:lineRule="auto"/>
        <w:ind w:firstLine="420"/>
        <w:jc w:val="both"/>
        <w:divId w:val="827205938"/>
        <w:rPr>
          <w:rFonts w:cs="Times New Roman"/>
          <w:color w:val="000000"/>
          <w:sz w:val="21"/>
          <w:szCs w:val="21"/>
        </w:rPr>
      </w:pPr>
      <w:r>
        <w:rPr>
          <w:rFonts w:cs="Times New Roman" w:hint="eastAsia"/>
          <w:color w:val="000000"/>
          <w:sz w:val="21"/>
          <w:szCs w:val="21"/>
        </w:rPr>
        <w:t>本公司向职工提供的其他长期职工福利，符合设定提存计划的，按照设定提存计划进行会计处理，除此之外按照设定收益计划进行会计处理。为简化相关会计处理，将其产生的职工薪</w:t>
      </w:r>
      <w:proofErr w:type="gramStart"/>
      <w:r>
        <w:rPr>
          <w:rFonts w:cs="Times New Roman" w:hint="eastAsia"/>
          <w:color w:val="000000"/>
          <w:sz w:val="21"/>
          <w:szCs w:val="21"/>
        </w:rPr>
        <w:t>酬</w:t>
      </w:r>
      <w:proofErr w:type="gramEnd"/>
      <w:r>
        <w:rPr>
          <w:rFonts w:cs="Times New Roman" w:hint="eastAsia"/>
          <w:color w:val="000000"/>
          <w:sz w:val="21"/>
          <w:szCs w:val="21"/>
        </w:rPr>
        <w:t>成本确认为服务成本、其他长期职工福利净负债或净资产的利息净额以及重新计量其他长期职工福利净负债或净资产所产生的变动等组成项目的总净额计入当期损益或相关资产成本。</w:t>
      </w:r>
    </w:p>
    <w:p w:rsidR="00A27D66" w:rsidRDefault="00A2119D">
      <w:pPr>
        <w:pStyle w:val="3"/>
        <w:spacing w:line="280" w:lineRule="exact"/>
        <w:jc w:val="left"/>
        <w:rPr>
          <w:rFonts w:ascii="宋体" w:hAnsi="宋体" w:cs="宋体"/>
          <w:b/>
          <w:bCs/>
        </w:rPr>
      </w:pPr>
      <w:bookmarkStart w:id="209" w:name="_Toc989093"/>
      <w:r>
        <w:rPr>
          <w:rFonts w:ascii="宋体" w:hAnsi="宋体" w:cs="宋体"/>
          <w:b/>
          <w:bCs/>
        </w:rPr>
        <w:t>34、预计负债</w:t>
      </w:r>
      <w:bookmarkEnd w:id="209"/>
    </w:p>
    <w:p w:rsidR="00A2119D" w:rsidRPr="00A3576E" w:rsidRDefault="00A2119D" w:rsidP="00A3576E">
      <w:pPr>
        <w:pStyle w:val="a3"/>
        <w:spacing w:before="0" w:beforeAutospacing="0" w:after="0" w:afterAutospacing="0" w:line="360" w:lineRule="auto"/>
        <w:ind w:firstLine="420"/>
        <w:jc w:val="both"/>
        <w:divId w:val="2086417192"/>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1</w:t>
      </w:r>
      <w:r>
        <w:rPr>
          <w:rFonts w:cs="Times New Roman" w:hint="eastAsia"/>
          <w:color w:val="000000"/>
          <w:sz w:val="21"/>
          <w:szCs w:val="21"/>
        </w:rPr>
        <w:t>）预计负债的确认标准</w:t>
      </w:r>
    </w:p>
    <w:p w:rsidR="00A2119D" w:rsidRPr="00A3576E" w:rsidRDefault="00A2119D" w:rsidP="00A3576E">
      <w:pPr>
        <w:pStyle w:val="a3"/>
        <w:spacing w:before="0" w:beforeAutospacing="0" w:after="0" w:afterAutospacing="0" w:line="360" w:lineRule="auto"/>
        <w:ind w:firstLine="420"/>
        <w:jc w:val="both"/>
        <w:divId w:val="2086417192"/>
        <w:rPr>
          <w:rFonts w:cs="Times New Roman"/>
          <w:color w:val="000000"/>
          <w:sz w:val="21"/>
          <w:szCs w:val="21"/>
        </w:rPr>
      </w:pPr>
      <w:r>
        <w:rPr>
          <w:rFonts w:cs="Times New Roman" w:hint="eastAsia"/>
          <w:color w:val="000000"/>
          <w:sz w:val="21"/>
          <w:szCs w:val="21"/>
        </w:rPr>
        <w:t>如果与或有事项相关的义务同时符合以下条件，本公司将其确认为预计负债：</w:t>
      </w:r>
      <w:r w:rsidRPr="00A3576E">
        <w:rPr>
          <w:rFonts w:cs="Times New Roman" w:hint="eastAsia"/>
          <w:color w:val="000000"/>
          <w:sz w:val="21"/>
          <w:szCs w:val="21"/>
        </w:rPr>
        <w:t>①</w:t>
      </w:r>
      <w:r>
        <w:rPr>
          <w:rFonts w:cs="Times New Roman" w:hint="eastAsia"/>
          <w:color w:val="000000"/>
          <w:sz w:val="21"/>
          <w:szCs w:val="21"/>
        </w:rPr>
        <w:t>该义务是本公司承担的现时义务；</w:t>
      </w:r>
      <w:r w:rsidRPr="00A3576E">
        <w:rPr>
          <w:rFonts w:cs="Times New Roman" w:hint="eastAsia"/>
          <w:color w:val="000000"/>
          <w:sz w:val="21"/>
          <w:szCs w:val="21"/>
        </w:rPr>
        <w:t>②</w:t>
      </w:r>
      <w:r>
        <w:rPr>
          <w:rFonts w:cs="Times New Roman" w:hint="eastAsia"/>
          <w:color w:val="000000"/>
          <w:sz w:val="21"/>
          <w:szCs w:val="21"/>
        </w:rPr>
        <w:t>该义务的履行很可能导致经济利益流出企业；</w:t>
      </w:r>
      <w:r w:rsidRPr="00A3576E">
        <w:rPr>
          <w:rFonts w:cs="Times New Roman" w:hint="eastAsia"/>
          <w:color w:val="000000"/>
          <w:sz w:val="21"/>
          <w:szCs w:val="21"/>
        </w:rPr>
        <w:t>③</w:t>
      </w:r>
      <w:r>
        <w:rPr>
          <w:rFonts w:cs="Times New Roman" w:hint="eastAsia"/>
          <w:color w:val="000000"/>
          <w:sz w:val="21"/>
          <w:szCs w:val="21"/>
        </w:rPr>
        <w:t>该义务的金额能够可靠地计量。</w:t>
      </w:r>
    </w:p>
    <w:p w:rsidR="00A2119D" w:rsidRPr="00A3576E" w:rsidRDefault="00A2119D" w:rsidP="00A3576E">
      <w:pPr>
        <w:pStyle w:val="a3"/>
        <w:spacing w:before="0" w:beforeAutospacing="0" w:after="0" w:afterAutospacing="0" w:line="360" w:lineRule="auto"/>
        <w:ind w:firstLine="420"/>
        <w:jc w:val="both"/>
        <w:divId w:val="2086417192"/>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2</w:t>
      </w:r>
      <w:r>
        <w:rPr>
          <w:rFonts w:cs="Times New Roman" w:hint="eastAsia"/>
          <w:color w:val="000000"/>
          <w:sz w:val="21"/>
          <w:szCs w:val="21"/>
        </w:rPr>
        <w:t>）预计负债的计量方法</w:t>
      </w:r>
    </w:p>
    <w:p w:rsidR="00A2119D" w:rsidRPr="00A3576E" w:rsidRDefault="00A2119D" w:rsidP="00A3576E">
      <w:pPr>
        <w:pStyle w:val="a3"/>
        <w:spacing w:before="0" w:beforeAutospacing="0" w:after="0" w:afterAutospacing="0" w:line="360" w:lineRule="auto"/>
        <w:ind w:firstLine="420"/>
        <w:jc w:val="both"/>
        <w:divId w:val="2086417192"/>
        <w:rPr>
          <w:rFonts w:cs="Times New Roman"/>
          <w:color w:val="000000"/>
          <w:sz w:val="21"/>
          <w:szCs w:val="21"/>
        </w:rPr>
      </w:pPr>
      <w:r>
        <w:rPr>
          <w:rFonts w:cs="Times New Roman" w:hint="eastAsia"/>
          <w:color w:val="000000"/>
          <w:sz w:val="21"/>
          <w:szCs w:val="21"/>
        </w:rPr>
        <w:t>预计负债按照履行现时义务所需支出的最佳估计数进行精算并初始计量。在确定最佳估计数时，综合考虑与或有事项有关的风险、不确定性和货币时间价值等因素。对于货币时间价值影响重大的，通过对相关未来现金流出进行折现后确定最佳估计数。</w:t>
      </w:r>
    </w:p>
    <w:p w:rsidR="00A2119D" w:rsidRPr="00A3576E" w:rsidRDefault="00A2119D" w:rsidP="00A3576E">
      <w:pPr>
        <w:pStyle w:val="a3"/>
        <w:spacing w:before="0" w:beforeAutospacing="0" w:after="0" w:afterAutospacing="0" w:line="360" w:lineRule="auto"/>
        <w:ind w:firstLine="420"/>
        <w:jc w:val="both"/>
        <w:divId w:val="2086417192"/>
        <w:rPr>
          <w:rFonts w:cs="Times New Roman"/>
          <w:color w:val="000000"/>
          <w:sz w:val="21"/>
          <w:szCs w:val="21"/>
        </w:rPr>
      </w:pPr>
      <w:r>
        <w:rPr>
          <w:rFonts w:cs="Times New Roman" w:hint="eastAsia"/>
          <w:color w:val="000000"/>
          <w:sz w:val="21"/>
          <w:szCs w:val="21"/>
        </w:rPr>
        <w:t>所需支出存在一个连续范围，且该范围内各种结果发生的可能性相同的最佳估计数按该范围的中间值确定；在其他情况下，最佳估计数按如下方法确定：</w:t>
      </w:r>
      <w:r w:rsidRPr="00A3576E">
        <w:rPr>
          <w:rFonts w:cs="Times New Roman" w:hint="eastAsia"/>
          <w:color w:val="000000"/>
          <w:sz w:val="21"/>
          <w:szCs w:val="21"/>
        </w:rPr>
        <w:t>①</w:t>
      </w:r>
      <w:r>
        <w:rPr>
          <w:rFonts w:cs="Times New Roman" w:hint="eastAsia"/>
          <w:color w:val="000000"/>
          <w:sz w:val="21"/>
          <w:szCs w:val="21"/>
        </w:rPr>
        <w:t>或有事项涉及单个项目时，最佳估计数按最可能发生金额确定；</w:t>
      </w:r>
      <w:r w:rsidRPr="00A3576E">
        <w:rPr>
          <w:rFonts w:cs="Times New Roman" w:hint="eastAsia"/>
          <w:color w:val="000000"/>
          <w:sz w:val="21"/>
          <w:szCs w:val="21"/>
        </w:rPr>
        <w:t>②</w:t>
      </w:r>
      <w:r>
        <w:rPr>
          <w:rFonts w:cs="Times New Roman" w:hint="eastAsia"/>
          <w:color w:val="000000"/>
          <w:sz w:val="21"/>
          <w:szCs w:val="21"/>
        </w:rPr>
        <w:t>或有事项涉及多个项目时，最佳估计数按各种可能发生额及其发生概率计算确定；</w:t>
      </w:r>
    </w:p>
    <w:p w:rsidR="00A2119D" w:rsidRPr="00A3576E" w:rsidRDefault="00A2119D" w:rsidP="00A3576E">
      <w:pPr>
        <w:pStyle w:val="a3"/>
        <w:spacing w:before="0" w:beforeAutospacing="0" w:after="0" w:afterAutospacing="0" w:line="360" w:lineRule="auto"/>
        <w:ind w:firstLine="420"/>
        <w:jc w:val="both"/>
        <w:divId w:val="2086417192"/>
        <w:rPr>
          <w:rFonts w:cs="Times New Roman"/>
          <w:color w:val="000000"/>
          <w:sz w:val="21"/>
          <w:szCs w:val="21"/>
        </w:rPr>
      </w:pPr>
      <w:r>
        <w:rPr>
          <w:rFonts w:cs="Times New Roman" w:hint="eastAsia"/>
          <w:color w:val="000000"/>
          <w:sz w:val="21"/>
          <w:szCs w:val="21"/>
        </w:rPr>
        <w:t>公司清偿预计负债所需支出全部或部分预期由第三方或其他方补偿的，则补偿金额在基本确定能收到时，作为资产单独确认。确认的补偿金额不超过所确认预计负债的账面价值。</w:t>
      </w:r>
    </w:p>
    <w:p w:rsidR="00A27D66" w:rsidRDefault="00A2119D">
      <w:pPr>
        <w:pStyle w:val="3"/>
        <w:spacing w:line="280" w:lineRule="exact"/>
        <w:jc w:val="left"/>
        <w:rPr>
          <w:rFonts w:ascii="宋体" w:hAnsi="宋体" w:cs="宋体"/>
          <w:b/>
          <w:bCs/>
        </w:rPr>
      </w:pPr>
      <w:bookmarkStart w:id="210" w:name="_Toc989094"/>
      <w:r>
        <w:rPr>
          <w:rFonts w:ascii="宋体" w:hAnsi="宋体" w:cs="宋体"/>
          <w:b/>
          <w:bCs/>
        </w:rPr>
        <w:lastRenderedPageBreak/>
        <w:t>35、股份支付</w:t>
      </w:r>
      <w:bookmarkEnd w:id="210"/>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t>（</w:t>
      </w:r>
      <w:r w:rsidRPr="00A3576E">
        <w:rPr>
          <w:rFonts w:cs="Times New Roman"/>
          <w:color w:val="000000"/>
          <w:sz w:val="21"/>
          <w:szCs w:val="21"/>
        </w:rPr>
        <w:t>1</w:t>
      </w:r>
      <w:r w:rsidRPr="00A3576E">
        <w:rPr>
          <w:rFonts w:cs="Times New Roman" w:hint="eastAsia"/>
          <w:color w:val="000000"/>
          <w:sz w:val="21"/>
          <w:szCs w:val="21"/>
        </w:rPr>
        <w:t>）股份支付的种类</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Pr>
          <w:rFonts w:cs="Times New Roman" w:hint="eastAsia"/>
          <w:color w:val="000000"/>
          <w:sz w:val="21"/>
          <w:szCs w:val="21"/>
        </w:rPr>
        <w:t>本公司的股份支付是为获取职工和其他方提供服务而授予权益工具或者承担以权益工具为基础确定的负债的交易，分为以权益结算的股份支付和以现金结算的股份支付。</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t>（</w:t>
      </w:r>
      <w:r w:rsidRPr="00A3576E">
        <w:rPr>
          <w:rFonts w:cs="Times New Roman"/>
          <w:color w:val="000000"/>
          <w:sz w:val="21"/>
          <w:szCs w:val="21"/>
        </w:rPr>
        <w:t>2</w:t>
      </w:r>
      <w:r w:rsidRPr="00A3576E">
        <w:rPr>
          <w:rFonts w:cs="Times New Roman" w:hint="eastAsia"/>
          <w:color w:val="000000"/>
          <w:sz w:val="21"/>
          <w:szCs w:val="21"/>
        </w:rPr>
        <w:t>）权益工具公允价值的确定方法</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t>对于授予的期权等权益工具存在活跃市场的，按照活跃市场中的报价确定其公允价值。对于授予的期权等权益工具不存在活跃市场的，采用期权定价模型等确定其公允价值，选用的期权定价模型至少应当考虑以下因素：①期权的行权价格；②期权的有效期；③标的股份的现行价格；④股价预计波动率；⑤股份的预计股利；⑥期权有效期内的无风险利率；⑦分期行权的股份支付。</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t>（</w:t>
      </w:r>
      <w:r w:rsidRPr="00A3576E">
        <w:rPr>
          <w:rFonts w:cs="Times New Roman"/>
          <w:color w:val="000000"/>
          <w:sz w:val="21"/>
          <w:szCs w:val="21"/>
        </w:rPr>
        <w:t>3</w:t>
      </w:r>
      <w:r w:rsidRPr="00A3576E">
        <w:rPr>
          <w:rFonts w:cs="Times New Roman" w:hint="eastAsia"/>
          <w:color w:val="000000"/>
          <w:sz w:val="21"/>
          <w:szCs w:val="21"/>
        </w:rPr>
        <w:t>）确认可行权权益工具最佳估计的依据</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t>等待期内每个资产负债表日，公司根据最新取得的可行</w:t>
      </w:r>
      <w:proofErr w:type="gramStart"/>
      <w:r w:rsidRPr="00A3576E">
        <w:rPr>
          <w:rFonts w:cs="Times New Roman" w:hint="eastAsia"/>
          <w:color w:val="000000"/>
          <w:sz w:val="21"/>
          <w:szCs w:val="21"/>
        </w:rPr>
        <w:t>权职工</w:t>
      </w:r>
      <w:proofErr w:type="gramEnd"/>
      <w:r w:rsidRPr="00A3576E">
        <w:rPr>
          <w:rFonts w:cs="Times New Roman" w:hint="eastAsia"/>
          <w:color w:val="000000"/>
          <w:sz w:val="21"/>
          <w:szCs w:val="21"/>
        </w:rPr>
        <w:t>人数变动等后续信息</w:t>
      </w:r>
      <w:proofErr w:type="gramStart"/>
      <w:r w:rsidRPr="00A3576E">
        <w:rPr>
          <w:rFonts w:cs="Times New Roman" w:hint="eastAsia"/>
          <w:color w:val="000000"/>
          <w:sz w:val="21"/>
          <w:szCs w:val="21"/>
        </w:rPr>
        <w:t>作出</w:t>
      </w:r>
      <w:proofErr w:type="gramEnd"/>
      <w:r w:rsidRPr="00A3576E">
        <w:rPr>
          <w:rFonts w:cs="Times New Roman" w:hint="eastAsia"/>
          <w:color w:val="000000"/>
          <w:sz w:val="21"/>
          <w:szCs w:val="21"/>
        </w:rPr>
        <w:t>最佳估计，修正预计可行权的权益工具数量。在可行权日，最终预计可行权权益工具的数量应当与实际可行权数量一致。</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t>（</w:t>
      </w:r>
      <w:r w:rsidRPr="00A3576E">
        <w:rPr>
          <w:rFonts w:cs="Times New Roman"/>
          <w:color w:val="000000"/>
          <w:sz w:val="21"/>
          <w:szCs w:val="21"/>
        </w:rPr>
        <w:t>4</w:t>
      </w:r>
      <w:r w:rsidRPr="00A3576E">
        <w:rPr>
          <w:rFonts w:cs="Times New Roman" w:hint="eastAsia"/>
          <w:color w:val="000000"/>
          <w:sz w:val="21"/>
          <w:szCs w:val="21"/>
        </w:rPr>
        <w:t>）实施、修改、终止股份支付计划的相关会计处理</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t>①以权益结算的股份支付</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t>授予后立即可行权的换取职工服务的以权益结算的股份支付，在授予</w:t>
      </w:r>
      <w:proofErr w:type="gramStart"/>
      <w:r w:rsidRPr="00A3576E">
        <w:rPr>
          <w:rFonts w:cs="Times New Roman" w:hint="eastAsia"/>
          <w:color w:val="000000"/>
          <w:sz w:val="21"/>
          <w:szCs w:val="21"/>
        </w:rPr>
        <w:t>日按照</w:t>
      </w:r>
      <w:proofErr w:type="gramEnd"/>
      <w:r w:rsidRPr="00A3576E">
        <w:rPr>
          <w:rFonts w:cs="Times New Roman" w:hint="eastAsia"/>
          <w:color w:val="000000"/>
          <w:sz w:val="21"/>
          <w:szCs w:val="21"/>
        </w:rPr>
        <w:t>权益工具的公允价值计入相关成本或费用，相应调整资本公积。完成等待期内的服务或达到规定业绩条件才可行权的换取职工服务的以权益结算的股份支付，在等待期内的每个资产负债表日，以对可行权权益工具数量的最佳估计为基础，按权益工具授予日的公允价值，将当期取得的服务计入相关成本或费用，相应调整资本公积。</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t>换取其他方服务的权益结算的股份支付，如果其他方服务的公允价值能够可靠计量的，按照其他方服务在取得日的公允价值计量；如果其他方服务的公允价值不能可靠计量，但权益工具的公允价值能够可靠计量的，按照权益工具在服务取得日的公允价值计量，计入相关成本或费用，相应增加所有者权益。</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t>②以现金结算的股份支付</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t>授予后立即可行权的换取职工服务的以现金结算的股份支付，在授予日按公司承担负债的公允价值计入相关成本或费用，相应增加负债。完成等待期内的服务或达到规定业绩条件才可行权的换取职工服务的以现金结算的股份支付，在等待期内的每个资产负债表日，以对可行</w:t>
      </w:r>
      <w:proofErr w:type="gramStart"/>
      <w:r w:rsidRPr="00A3576E">
        <w:rPr>
          <w:rFonts w:cs="Times New Roman" w:hint="eastAsia"/>
          <w:color w:val="000000"/>
          <w:sz w:val="21"/>
          <w:szCs w:val="21"/>
        </w:rPr>
        <w:t>权情况</w:t>
      </w:r>
      <w:proofErr w:type="gramEnd"/>
      <w:r w:rsidRPr="00A3576E">
        <w:rPr>
          <w:rFonts w:cs="Times New Roman" w:hint="eastAsia"/>
          <w:color w:val="000000"/>
          <w:sz w:val="21"/>
          <w:szCs w:val="21"/>
        </w:rPr>
        <w:t>的最佳估计为基础，按公司承担负债的公允价值，将当期取得的服务计入相关成本或费用和相应的负债。</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t>③修改、终止股份支付计划</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lastRenderedPageBreak/>
        <w:t>如果修改增加了所授予的权益工具的公允价值，公司按照权益工具公允价值的增加相应地确认取得服务的增加；如果修改增加了所授予的权益工具的数量，公司将增加的权益工具的公允价值相应地确认为取得服务的增加；如果公司按照有利于职工的方式修改可行权条件，公司在处理可行</w:t>
      </w:r>
      <w:proofErr w:type="gramStart"/>
      <w:r w:rsidRPr="00A3576E">
        <w:rPr>
          <w:rFonts w:cs="Times New Roman" w:hint="eastAsia"/>
          <w:color w:val="000000"/>
          <w:sz w:val="21"/>
          <w:szCs w:val="21"/>
        </w:rPr>
        <w:t>权条件</w:t>
      </w:r>
      <w:proofErr w:type="gramEnd"/>
      <w:r w:rsidRPr="00A3576E">
        <w:rPr>
          <w:rFonts w:cs="Times New Roman" w:hint="eastAsia"/>
          <w:color w:val="000000"/>
          <w:sz w:val="21"/>
          <w:szCs w:val="21"/>
        </w:rPr>
        <w:t>时，考虑修改后的可行权条件。如果修改减少了授予的权益工具的公允价值，公司继续以权益工具在授予日的公允价值为基础，确认取得服务的金额，而不考虑权益工具公允价值的减少；如果修改减少了授予的权益工具的数量，公司将减少部分作为已授予的权益工具的取消来进行处理；如果以不利于职工的方式修改了可行权条件，在处理可行</w:t>
      </w:r>
      <w:proofErr w:type="gramStart"/>
      <w:r w:rsidRPr="00A3576E">
        <w:rPr>
          <w:rFonts w:cs="Times New Roman" w:hint="eastAsia"/>
          <w:color w:val="000000"/>
          <w:sz w:val="21"/>
          <w:szCs w:val="21"/>
        </w:rPr>
        <w:t>权条件</w:t>
      </w:r>
      <w:proofErr w:type="gramEnd"/>
      <w:r w:rsidRPr="00A3576E">
        <w:rPr>
          <w:rFonts w:cs="Times New Roman" w:hint="eastAsia"/>
          <w:color w:val="000000"/>
          <w:sz w:val="21"/>
          <w:szCs w:val="21"/>
        </w:rPr>
        <w:t>时，不考虑修改后的可行权条件。</w:t>
      </w:r>
    </w:p>
    <w:p w:rsidR="00A2119D" w:rsidRPr="00A3576E" w:rsidRDefault="00A2119D" w:rsidP="00A3576E">
      <w:pPr>
        <w:pStyle w:val="a3"/>
        <w:spacing w:before="0" w:beforeAutospacing="0" w:after="0" w:afterAutospacing="0" w:line="360" w:lineRule="auto"/>
        <w:ind w:firstLine="420"/>
        <w:jc w:val="both"/>
        <w:divId w:val="601646778"/>
        <w:rPr>
          <w:rFonts w:cs="Times New Roman"/>
          <w:color w:val="000000"/>
          <w:sz w:val="21"/>
          <w:szCs w:val="21"/>
        </w:rPr>
      </w:pPr>
      <w:r w:rsidRPr="00A3576E">
        <w:rPr>
          <w:rFonts w:cs="Times New Roman" w:hint="eastAsia"/>
          <w:color w:val="000000"/>
          <w:sz w:val="21"/>
          <w:szCs w:val="21"/>
        </w:rPr>
        <w:t>如果公司在等待期内取消了所授予的权益工具或结算了所授予的权益工具（因未满足可行</w:t>
      </w:r>
      <w:proofErr w:type="gramStart"/>
      <w:r w:rsidRPr="00A3576E">
        <w:rPr>
          <w:rFonts w:cs="Times New Roman" w:hint="eastAsia"/>
          <w:color w:val="000000"/>
          <w:sz w:val="21"/>
          <w:szCs w:val="21"/>
        </w:rPr>
        <w:t>权条件</w:t>
      </w:r>
      <w:proofErr w:type="gramEnd"/>
      <w:r w:rsidRPr="00A3576E">
        <w:rPr>
          <w:rFonts w:cs="Times New Roman" w:hint="eastAsia"/>
          <w:color w:val="000000"/>
          <w:sz w:val="21"/>
          <w:szCs w:val="21"/>
        </w:rPr>
        <w:t>而被取消的除外），则将取消或结算作为加速可行权处理，立即确认原本在剩余等待期内确认的金额。在取消或结算时支付给职工的所有款项均应作为权益的回购处理</w:t>
      </w:r>
      <w:r w:rsidRPr="00A3576E">
        <w:rPr>
          <w:rFonts w:cs="Times New Roman"/>
          <w:color w:val="000000"/>
          <w:sz w:val="21"/>
          <w:szCs w:val="21"/>
        </w:rPr>
        <w:t>,</w:t>
      </w:r>
      <w:r w:rsidRPr="00A3576E">
        <w:rPr>
          <w:rFonts w:cs="Times New Roman" w:hint="eastAsia"/>
          <w:color w:val="000000"/>
          <w:sz w:val="21"/>
          <w:szCs w:val="21"/>
        </w:rPr>
        <w:t>回购支付的金额高于该权益工具在回购日公允价值的部分</w:t>
      </w:r>
      <w:r w:rsidRPr="00A3576E">
        <w:rPr>
          <w:rFonts w:cs="Times New Roman"/>
          <w:color w:val="000000"/>
          <w:sz w:val="21"/>
          <w:szCs w:val="21"/>
        </w:rPr>
        <w:t>,</w:t>
      </w:r>
      <w:r w:rsidRPr="00A3576E">
        <w:rPr>
          <w:rFonts w:cs="Times New Roman" w:hint="eastAsia"/>
          <w:color w:val="000000"/>
          <w:sz w:val="21"/>
          <w:szCs w:val="21"/>
        </w:rPr>
        <w:t>计入当期费用。如果回购其职工已可行权的权益工具</w:t>
      </w:r>
      <w:r w:rsidRPr="00A3576E">
        <w:rPr>
          <w:rFonts w:cs="Times New Roman"/>
          <w:color w:val="000000"/>
          <w:sz w:val="21"/>
          <w:szCs w:val="21"/>
        </w:rPr>
        <w:t>,</w:t>
      </w:r>
      <w:r w:rsidRPr="00A3576E">
        <w:rPr>
          <w:rFonts w:cs="Times New Roman" w:hint="eastAsia"/>
          <w:color w:val="000000"/>
          <w:sz w:val="21"/>
          <w:szCs w:val="21"/>
        </w:rPr>
        <w:t>借记所有者权益</w:t>
      </w:r>
      <w:r w:rsidRPr="00A3576E">
        <w:rPr>
          <w:rFonts w:cs="Times New Roman"/>
          <w:color w:val="000000"/>
          <w:sz w:val="21"/>
          <w:szCs w:val="21"/>
        </w:rPr>
        <w:t>,</w:t>
      </w:r>
      <w:r w:rsidRPr="00A3576E">
        <w:rPr>
          <w:rFonts w:cs="Times New Roman" w:hint="eastAsia"/>
          <w:color w:val="000000"/>
          <w:sz w:val="21"/>
          <w:szCs w:val="21"/>
        </w:rPr>
        <w:t>回购支付的金额高于该权益工具在回购日公允价值的部分</w:t>
      </w:r>
      <w:r w:rsidRPr="00A3576E">
        <w:rPr>
          <w:rFonts w:cs="Times New Roman"/>
          <w:color w:val="000000"/>
          <w:sz w:val="21"/>
          <w:szCs w:val="21"/>
        </w:rPr>
        <w:t>,</w:t>
      </w:r>
      <w:r w:rsidRPr="00A3576E">
        <w:rPr>
          <w:rFonts w:cs="Times New Roman" w:hint="eastAsia"/>
          <w:color w:val="000000"/>
          <w:sz w:val="21"/>
          <w:szCs w:val="21"/>
        </w:rPr>
        <w:t>计入当期费用。</w:t>
      </w:r>
    </w:p>
    <w:p w:rsidR="00A27D66" w:rsidRDefault="00A2119D">
      <w:pPr>
        <w:pStyle w:val="3"/>
        <w:spacing w:line="280" w:lineRule="exact"/>
        <w:jc w:val="left"/>
        <w:rPr>
          <w:rFonts w:ascii="宋体" w:hAnsi="宋体" w:cs="宋体"/>
          <w:b/>
          <w:bCs/>
        </w:rPr>
      </w:pPr>
      <w:bookmarkStart w:id="211" w:name="_Toc989095"/>
      <w:r>
        <w:rPr>
          <w:rFonts w:ascii="宋体" w:hAnsi="宋体" w:cs="宋体"/>
          <w:b/>
          <w:bCs/>
        </w:rPr>
        <w:t>36、优先股、永续债等其他金融工具</w:t>
      </w:r>
      <w:bookmarkEnd w:id="211"/>
    </w:p>
    <w:p w:rsidR="00A2119D" w:rsidRDefault="00A2119D">
      <w:pPr>
        <w:pStyle w:val="a3"/>
        <w:divId w:val="440106288"/>
        <w:rPr>
          <w:sz w:val="18"/>
          <w:szCs w:val="18"/>
        </w:rPr>
      </w:pPr>
      <w:r>
        <w:rPr>
          <w:rFonts w:hint="eastAsia"/>
          <w:sz w:val="18"/>
          <w:szCs w:val="18"/>
        </w:rPr>
        <w:t>不适用。</w:t>
      </w:r>
    </w:p>
    <w:p w:rsidR="00A27D66" w:rsidRDefault="00A2119D">
      <w:pPr>
        <w:pStyle w:val="3"/>
        <w:spacing w:line="280" w:lineRule="exact"/>
        <w:jc w:val="left"/>
        <w:rPr>
          <w:rFonts w:ascii="宋体" w:hAnsi="宋体" w:cs="宋体"/>
          <w:b/>
          <w:bCs/>
        </w:rPr>
      </w:pPr>
      <w:bookmarkStart w:id="212" w:name="_Toc989096"/>
      <w:r>
        <w:rPr>
          <w:rFonts w:ascii="宋体" w:hAnsi="宋体" w:cs="宋体"/>
          <w:b/>
          <w:bCs/>
        </w:rPr>
        <w:t>37、收入</w:t>
      </w:r>
      <w:bookmarkEnd w:id="212"/>
    </w:p>
    <w:p w:rsidR="00A27D66" w:rsidRPr="00A3576E" w:rsidRDefault="00A2119D" w:rsidP="00A3576E">
      <w:pPr>
        <w:pStyle w:val="a3"/>
        <w:spacing w:before="0" w:beforeAutospacing="0" w:after="0" w:afterAutospacing="0" w:line="360" w:lineRule="auto"/>
        <w:ind w:firstLine="420"/>
        <w:jc w:val="both"/>
        <w:rPr>
          <w:rFonts w:cs="Times New Roman"/>
          <w:color w:val="000000"/>
          <w:sz w:val="21"/>
          <w:szCs w:val="21"/>
        </w:rPr>
      </w:pPr>
      <w:r w:rsidRPr="00A3576E">
        <w:rPr>
          <w:rFonts w:cs="Times New Roman"/>
          <w:color w:val="000000"/>
          <w:sz w:val="21"/>
          <w:szCs w:val="21"/>
        </w:rPr>
        <w:t>按照业务类型披露收入确认和计量所采用的会计政策</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w:t>
      </w:r>
      <w:r w:rsidRPr="00A3576E">
        <w:rPr>
          <w:rFonts w:cs="Times New Roman"/>
          <w:color w:val="000000"/>
          <w:sz w:val="21"/>
          <w:szCs w:val="21"/>
        </w:rPr>
        <w:t>1</w:t>
      </w:r>
      <w:r w:rsidRPr="00A3576E">
        <w:rPr>
          <w:rFonts w:cs="Times New Roman" w:hint="eastAsia"/>
          <w:color w:val="000000"/>
          <w:sz w:val="21"/>
          <w:szCs w:val="21"/>
        </w:rPr>
        <w:t>）收入的确认和计量所采用的会计政策</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本公司在履行了合同中的履约义务，即在客户取得相关商品控制权时确认收入。取得相关商品控制权，是指能够主导该商品的使用并从中获得几乎全部的经济利益，也包括有能力阻止其他方主导该商品的使用并从中获得几乎全部的经济利益。</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合同中包含两项或多项履约义务的，本公司在合同开始日，按照各单项履约义务所承诺商品的单独售价的相对比例，将交易价格分摊至各单项履约义务，按照分摊至各单项履约义务的交易价格计量收入。交易价格发生后续变动的</w:t>
      </w:r>
      <w:r w:rsidRPr="00A3576E">
        <w:rPr>
          <w:rFonts w:cs="Times New Roman"/>
          <w:color w:val="000000"/>
          <w:sz w:val="21"/>
          <w:szCs w:val="21"/>
        </w:rPr>
        <w:t>,</w:t>
      </w:r>
      <w:r w:rsidRPr="00A3576E">
        <w:rPr>
          <w:rFonts w:cs="Times New Roman" w:hint="eastAsia"/>
          <w:color w:val="000000"/>
          <w:sz w:val="21"/>
          <w:szCs w:val="21"/>
        </w:rPr>
        <w:t>本公司按照在合同开始日所采用的基础将该后续变动金额分摊至合同中的履约义务。对于合同开始日之后单独售价的变动不再重新分摊交易价格。</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交易价格是本公司因向客户转让商品而预期有权收取的对价金额，不包括代第三方收取的款项以及本公司预期将退还给客户的款项。在确定合同交易价格时，如果存在可变对价，本公司按照期望值或最可能发生金额确定可变对价的最佳估计数，并以不超过在相关不确定性消除时累计已确认</w:t>
      </w:r>
      <w:proofErr w:type="gramStart"/>
      <w:r w:rsidRPr="00A3576E">
        <w:rPr>
          <w:rFonts w:cs="Times New Roman" w:hint="eastAsia"/>
          <w:color w:val="000000"/>
          <w:sz w:val="21"/>
          <w:szCs w:val="21"/>
        </w:rPr>
        <w:t>收入极</w:t>
      </w:r>
      <w:proofErr w:type="gramEnd"/>
      <w:r w:rsidRPr="00A3576E">
        <w:rPr>
          <w:rFonts w:cs="Times New Roman" w:hint="eastAsia"/>
          <w:color w:val="000000"/>
          <w:sz w:val="21"/>
          <w:szCs w:val="21"/>
        </w:rPr>
        <w:t>可能不会发生重大转回的金额计入交易价格。合同中如果存在重大融资成分，本公司将根据客户在取得商品控</w:t>
      </w:r>
      <w:r w:rsidRPr="00A3576E">
        <w:rPr>
          <w:rFonts w:cs="Times New Roman" w:hint="eastAsia"/>
          <w:color w:val="000000"/>
          <w:sz w:val="21"/>
          <w:szCs w:val="21"/>
        </w:rPr>
        <w:lastRenderedPageBreak/>
        <w:t>制权时即以现金支付的应付金额确定交易价格，该交易价格与合同对价之间的差额，在合同期间内采用实际利率法摊销，对于客户取得商品控制权与客户支付价款间隔不超过一年的，本公司不考虑其中的融资成分。因转让商品而有权向客户收取的对价是非现金形式时，本公司按照非现金对价在合同开始日的公允价值确定交易价格。非现金对价公允价值不能合理估计的，本公司参照其承诺向客户转让商品的单独售价间接确定交易价格。本公司预期将退还给客户的款项，除了为自客户取得其他可明确区分商品外，将该应付对价冲减交易价格。应付客户对价超过自客户取得的可明确区分商品公允价值的，超过金额作为应付客户对价冲减交易价格。自客户取得的可明确区分商品公允价值不能合理估计的，本公司将应付客户对价全额冲减交易价格。在对应付客户对价冲减交易价格进行会计处理时，本公司在确认相关收入与支付（或承诺支付）客户对价</w:t>
      </w:r>
      <w:proofErr w:type="gramStart"/>
      <w:r w:rsidRPr="00A3576E">
        <w:rPr>
          <w:rFonts w:cs="Times New Roman" w:hint="eastAsia"/>
          <w:color w:val="000000"/>
          <w:sz w:val="21"/>
          <w:szCs w:val="21"/>
        </w:rPr>
        <w:t>二者孰晚的</w:t>
      </w:r>
      <w:proofErr w:type="gramEnd"/>
      <w:r w:rsidRPr="00A3576E">
        <w:rPr>
          <w:rFonts w:cs="Times New Roman" w:hint="eastAsia"/>
          <w:color w:val="000000"/>
          <w:sz w:val="21"/>
          <w:szCs w:val="21"/>
        </w:rPr>
        <w:t>时点冲减当期收入。</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满足下列条件之一的，属于在某一时段内履行履约义务；否则，属于在某一时</w:t>
      </w:r>
      <w:proofErr w:type="gramStart"/>
      <w:r w:rsidRPr="00A3576E">
        <w:rPr>
          <w:rFonts w:cs="Times New Roman" w:hint="eastAsia"/>
          <w:color w:val="000000"/>
          <w:sz w:val="21"/>
          <w:szCs w:val="21"/>
        </w:rPr>
        <w:t>点履行</w:t>
      </w:r>
      <w:proofErr w:type="gramEnd"/>
      <w:r w:rsidRPr="00A3576E">
        <w:rPr>
          <w:rFonts w:cs="Times New Roman" w:hint="eastAsia"/>
          <w:color w:val="000000"/>
          <w:sz w:val="21"/>
          <w:szCs w:val="21"/>
        </w:rPr>
        <w:t>履约义务：</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①客户在本公司履约的同时即取得并消耗本公司履约所带来的经济利益；</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②客户能够控制本公司履约过程中在建的商品；</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③本公司履约过程中所产出的商品具有不可替代用途，且本公司在整个合同期间内有权就累计至今已完成的履约部分收取款项。</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对于在某一时</w:t>
      </w:r>
      <w:proofErr w:type="gramStart"/>
      <w:r w:rsidRPr="00A3576E">
        <w:rPr>
          <w:rFonts w:cs="Times New Roman" w:hint="eastAsia"/>
          <w:color w:val="000000"/>
          <w:sz w:val="21"/>
          <w:szCs w:val="21"/>
        </w:rPr>
        <w:t>点履行</w:t>
      </w:r>
      <w:proofErr w:type="gramEnd"/>
      <w:r w:rsidRPr="00A3576E">
        <w:rPr>
          <w:rFonts w:cs="Times New Roman" w:hint="eastAsia"/>
          <w:color w:val="000000"/>
          <w:sz w:val="21"/>
          <w:szCs w:val="21"/>
        </w:rPr>
        <w:t>的履约义务，本公司在客户取得相关商品控制权时点确认收入。在判断客户是否已取得商品控制权时，本公司会考虑下列迹象：</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①本公司就该商品享有现时收款权利，即客户就该商品负有现时付款义务；</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②本公司已将该商品的法定所有权转移给客户，即客户已拥有了该商品的法定所有权；</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③本公司已将该商品实物转移给客户，即客户已占有该商品实物；</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④本公司已将该商品所有权上的主要风险和报酬转移给客户，即客户已取得该商品所有权上的主要风险和报酬；</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⑤客户已接受该商品。</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主要责任人与代理人</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本公司根据在向客户转让商品或服务前是否拥有对该商品或服务的控制权，来判断从事交易时本公司的身份是主要责任人还是代理人。本公司在向客户转让商品或服务前能够控制该商品或服务的，本公</w:t>
      </w:r>
      <w:r w:rsidRPr="00A3576E">
        <w:rPr>
          <w:rFonts w:cs="Times New Roman" w:hint="eastAsia"/>
          <w:color w:val="000000"/>
          <w:sz w:val="21"/>
          <w:szCs w:val="21"/>
        </w:rPr>
        <w:lastRenderedPageBreak/>
        <w:t>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客户未行使的合同权利</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本公司向客户预收销售商品或服务款项的，首先将该款项确认为负债，</w:t>
      </w:r>
      <w:proofErr w:type="gramStart"/>
      <w:r w:rsidRPr="00A3576E">
        <w:rPr>
          <w:rFonts w:cs="Times New Roman" w:hint="eastAsia"/>
          <w:color w:val="000000"/>
          <w:sz w:val="21"/>
          <w:szCs w:val="21"/>
        </w:rPr>
        <w:t>待履行</w:t>
      </w:r>
      <w:proofErr w:type="gramEnd"/>
      <w:r w:rsidRPr="00A3576E">
        <w:rPr>
          <w:rFonts w:cs="Times New Roman" w:hint="eastAsia"/>
          <w:color w:val="000000"/>
          <w:sz w:val="21"/>
          <w:szCs w:val="21"/>
        </w:rPr>
        <w:t>了相关履约义务时再转为收入。当本公司预收款项无需退回，且客户可能会放弃其全部或部分合同权利时，本公司预期将有权获得与客户所放弃的合同权利相关的金额的，按照客户行使合同权利的模式按比例将上述金额确认为收入；否则，本公司只有在客户要求履行剩余履约义务的可能性极低时，才将上述负债的相关余额转为收入。</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w:t>
      </w:r>
      <w:r w:rsidRPr="00A3576E">
        <w:rPr>
          <w:rFonts w:cs="Times New Roman"/>
          <w:color w:val="000000"/>
          <w:sz w:val="21"/>
          <w:szCs w:val="21"/>
        </w:rPr>
        <w:t>2</w:t>
      </w:r>
      <w:r w:rsidRPr="00A3576E">
        <w:rPr>
          <w:rFonts w:cs="Times New Roman" w:hint="eastAsia"/>
          <w:color w:val="000000"/>
          <w:sz w:val="21"/>
          <w:szCs w:val="21"/>
        </w:rPr>
        <w:t>）按照本公司业务类型具体收入确认原则和计量方法</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本公司收入主要包括：销售电源及相关产品、销售高性能特种合金材料制品。</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本公司收入确认的具体方法如下：</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商品销售收入</w:t>
      </w:r>
    </w:p>
    <w:p w:rsidR="00A2119D" w:rsidRPr="00A3576E" w:rsidRDefault="00A2119D" w:rsidP="00A3576E">
      <w:pPr>
        <w:pStyle w:val="a3"/>
        <w:spacing w:before="0" w:beforeAutospacing="0" w:after="0" w:afterAutospacing="0" w:line="360" w:lineRule="auto"/>
        <w:ind w:firstLine="420"/>
        <w:jc w:val="both"/>
        <w:divId w:val="1357192021"/>
        <w:rPr>
          <w:rFonts w:cs="Times New Roman"/>
          <w:color w:val="000000"/>
          <w:sz w:val="21"/>
          <w:szCs w:val="21"/>
        </w:rPr>
      </w:pPr>
      <w:r w:rsidRPr="00A3576E">
        <w:rPr>
          <w:rFonts w:cs="Times New Roman" w:hint="eastAsia"/>
          <w:color w:val="000000"/>
          <w:sz w:val="21"/>
          <w:szCs w:val="21"/>
        </w:rPr>
        <w:t>本公司与客户之间的销售商品合同包含转让电源及相关产品、高性能特种合金材料制品的履约义务，属于在某一时</w:t>
      </w:r>
      <w:proofErr w:type="gramStart"/>
      <w:r w:rsidRPr="00A3576E">
        <w:rPr>
          <w:rFonts w:cs="Times New Roman" w:hint="eastAsia"/>
          <w:color w:val="000000"/>
          <w:sz w:val="21"/>
          <w:szCs w:val="21"/>
        </w:rPr>
        <w:t>点履行</w:t>
      </w:r>
      <w:proofErr w:type="gramEnd"/>
      <w:r w:rsidRPr="00A3576E">
        <w:rPr>
          <w:rFonts w:cs="Times New Roman" w:hint="eastAsia"/>
          <w:color w:val="000000"/>
          <w:sz w:val="21"/>
          <w:szCs w:val="21"/>
        </w:rPr>
        <w:t>履约义务。产品收入确认需满足以下条件：本公司已根据合同约定将产品交付给客户且客户已接受该商品，已经收回货款或取得了收款凭证且相关的经济利益很可能流入，商品所有权上的主要风险和报酬已转移，商品的法定所有权已转移。</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同类业务采用不同经营模式涉及不同收入确认方式及计量方法的情况</w:t>
      </w:r>
    </w:p>
    <w:p w:rsidR="00A2119D" w:rsidRDefault="00A2119D">
      <w:pPr>
        <w:pStyle w:val="a3"/>
        <w:divId w:val="254945375"/>
        <w:rPr>
          <w:sz w:val="18"/>
          <w:szCs w:val="18"/>
        </w:rPr>
      </w:pPr>
      <w:r>
        <w:rPr>
          <w:rFonts w:hint="eastAsia"/>
          <w:sz w:val="18"/>
          <w:szCs w:val="18"/>
        </w:rPr>
        <w:t>不适用。</w:t>
      </w:r>
    </w:p>
    <w:p w:rsidR="00A27D66" w:rsidRDefault="00A2119D">
      <w:pPr>
        <w:pStyle w:val="3"/>
        <w:spacing w:line="280" w:lineRule="exact"/>
        <w:jc w:val="left"/>
        <w:rPr>
          <w:rFonts w:ascii="宋体" w:hAnsi="宋体" w:cs="宋体"/>
          <w:b/>
          <w:bCs/>
        </w:rPr>
      </w:pPr>
      <w:bookmarkStart w:id="213" w:name="_Toc989097"/>
      <w:r>
        <w:rPr>
          <w:rFonts w:ascii="宋体" w:hAnsi="宋体" w:cs="宋体"/>
          <w:b/>
          <w:bCs/>
        </w:rPr>
        <w:t>38、合同成本</w:t>
      </w:r>
      <w:bookmarkEnd w:id="213"/>
    </w:p>
    <w:p w:rsidR="00A2119D" w:rsidRPr="00A3576E" w:rsidRDefault="00A2119D" w:rsidP="00A3576E">
      <w:pPr>
        <w:pStyle w:val="a3"/>
        <w:spacing w:before="0" w:beforeAutospacing="0" w:after="0" w:afterAutospacing="0" w:line="360" w:lineRule="auto"/>
        <w:ind w:firstLine="420"/>
        <w:jc w:val="both"/>
        <w:divId w:val="1196962292"/>
        <w:rPr>
          <w:rFonts w:cs="Times New Roman"/>
          <w:color w:val="000000"/>
          <w:sz w:val="21"/>
          <w:szCs w:val="21"/>
        </w:rPr>
      </w:pPr>
      <w:r w:rsidRPr="00A3576E">
        <w:rPr>
          <w:rFonts w:cs="Times New Roman" w:hint="eastAsia"/>
          <w:color w:val="000000"/>
          <w:sz w:val="21"/>
          <w:szCs w:val="21"/>
        </w:rPr>
        <w:t>合同成本包括</w:t>
      </w:r>
      <w:r>
        <w:rPr>
          <w:rFonts w:cs="Times New Roman" w:hint="eastAsia"/>
          <w:color w:val="000000"/>
          <w:sz w:val="21"/>
          <w:szCs w:val="21"/>
        </w:rPr>
        <w:t>合同履约成本与合同取得成本</w:t>
      </w:r>
      <w:r w:rsidRPr="00A3576E">
        <w:rPr>
          <w:rFonts w:cs="Times New Roman" w:hint="eastAsia"/>
          <w:color w:val="000000"/>
          <w:sz w:val="21"/>
          <w:szCs w:val="21"/>
        </w:rPr>
        <w:t>。</w:t>
      </w:r>
    </w:p>
    <w:p w:rsidR="00A2119D" w:rsidRPr="00A3576E" w:rsidRDefault="00A2119D" w:rsidP="00A3576E">
      <w:pPr>
        <w:pStyle w:val="a3"/>
        <w:spacing w:before="0" w:beforeAutospacing="0" w:after="0" w:afterAutospacing="0" w:line="360" w:lineRule="auto"/>
        <w:ind w:firstLine="420"/>
        <w:jc w:val="both"/>
        <w:divId w:val="1196962292"/>
        <w:rPr>
          <w:rFonts w:cs="Times New Roman"/>
          <w:color w:val="000000"/>
          <w:sz w:val="21"/>
          <w:szCs w:val="21"/>
        </w:rPr>
      </w:pPr>
      <w:r w:rsidRPr="00A3576E">
        <w:rPr>
          <w:rFonts w:cs="Times New Roman" w:hint="eastAsia"/>
          <w:color w:val="000000"/>
          <w:sz w:val="21"/>
          <w:szCs w:val="21"/>
        </w:rPr>
        <w:t>为取得合同发生的增量成本是指本公司不取得合同就不会发生的成本</w:t>
      </w:r>
      <w:r w:rsidRPr="00A3576E">
        <w:rPr>
          <w:rFonts w:cs="Times New Roman"/>
          <w:color w:val="000000"/>
          <w:sz w:val="21"/>
          <w:szCs w:val="21"/>
        </w:rPr>
        <w:t>(</w:t>
      </w:r>
      <w:r w:rsidRPr="00A3576E">
        <w:rPr>
          <w:rFonts w:cs="Times New Roman" w:hint="eastAsia"/>
          <w:color w:val="000000"/>
          <w:sz w:val="21"/>
          <w:szCs w:val="21"/>
        </w:rPr>
        <w:t>如销售佣金等</w:t>
      </w:r>
      <w:r w:rsidRPr="00A3576E">
        <w:rPr>
          <w:rFonts w:cs="Times New Roman"/>
          <w:color w:val="000000"/>
          <w:sz w:val="21"/>
          <w:szCs w:val="21"/>
        </w:rPr>
        <w:t>)</w:t>
      </w:r>
      <w:r w:rsidRPr="00A3576E">
        <w:rPr>
          <w:rFonts w:cs="Times New Roman" w:hint="eastAsia"/>
          <w:color w:val="000000"/>
          <w:sz w:val="21"/>
          <w:szCs w:val="21"/>
        </w:rPr>
        <w:t>。</w:t>
      </w:r>
      <w:proofErr w:type="gramStart"/>
      <w:r w:rsidRPr="00A3576E">
        <w:rPr>
          <w:rFonts w:cs="Times New Roman" w:hint="eastAsia"/>
          <w:color w:val="000000"/>
          <w:sz w:val="21"/>
          <w:szCs w:val="21"/>
        </w:rPr>
        <w:t>该成本</w:t>
      </w:r>
      <w:proofErr w:type="gramEnd"/>
      <w:r w:rsidRPr="00A3576E">
        <w:rPr>
          <w:rFonts w:cs="Times New Roman" w:hint="eastAsia"/>
          <w:color w:val="000000"/>
          <w:sz w:val="21"/>
          <w:szCs w:val="21"/>
        </w:rPr>
        <w:t>预期能够收回的，本公司将其作为合同取得成本确认为一项资产。本公司为取得合同发生的、除预期能够收回的增量成本之外的其他支出于发生时计入当期损益。</w:t>
      </w:r>
    </w:p>
    <w:p w:rsidR="00A2119D" w:rsidRPr="00A3576E" w:rsidRDefault="00A2119D" w:rsidP="00A3576E">
      <w:pPr>
        <w:pStyle w:val="a3"/>
        <w:spacing w:before="0" w:beforeAutospacing="0" w:after="0" w:afterAutospacing="0" w:line="360" w:lineRule="auto"/>
        <w:ind w:firstLine="420"/>
        <w:jc w:val="both"/>
        <w:divId w:val="1196962292"/>
        <w:rPr>
          <w:rFonts w:cs="Times New Roman"/>
          <w:color w:val="000000"/>
          <w:sz w:val="21"/>
          <w:szCs w:val="21"/>
        </w:rPr>
      </w:pPr>
      <w:r w:rsidRPr="00A3576E">
        <w:rPr>
          <w:rFonts w:cs="Times New Roman" w:hint="eastAsia"/>
          <w:color w:val="000000"/>
          <w:sz w:val="21"/>
          <w:szCs w:val="21"/>
        </w:rPr>
        <w:t>为履行合同发生的成本，不适用存货、固定资产或无形资产等相关准则的规范范围的，且同时满足下列条件的，本公司将其作为合同履约成本确认为一项资产：</w:t>
      </w:r>
    </w:p>
    <w:p w:rsidR="00A2119D" w:rsidRPr="00A3576E" w:rsidRDefault="00A2119D" w:rsidP="00A3576E">
      <w:pPr>
        <w:pStyle w:val="a3"/>
        <w:spacing w:before="0" w:beforeAutospacing="0" w:after="0" w:afterAutospacing="0" w:line="360" w:lineRule="auto"/>
        <w:ind w:firstLine="420"/>
        <w:jc w:val="both"/>
        <w:divId w:val="1196962292"/>
        <w:rPr>
          <w:rFonts w:cs="Times New Roman"/>
          <w:color w:val="000000"/>
          <w:sz w:val="21"/>
          <w:szCs w:val="21"/>
        </w:rPr>
      </w:pPr>
      <w:r w:rsidRPr="00A3576E">
        <w:rPr>
          <w:rFonts w:cs="Times New Roman" w:hint="eastAsia"/>
          <w:color w:val="000000"/>
          <w:sz w:val="21"/>
          <w:szCs w:val="21"/>
        </w:rPr>
        <w:t>（</w:t>
      </w:r>
      <w:r w:rsidRPr="00A3576E">
        <w:rPr>
          <w:rFonts w:cs="Times New Roman"/>
          <w:color w:val="000000"/>
          <w:sz w:val="21"/>
          <w:szCs w:val="21"/>
        </w:rPr>
        <w:t>1</w:t>
      </w:r>
      <w:r w:rsidRPr="00A3576E">
        <w:rPr>
          <w:rFonts w:cs="Times New Roman" w:hint="eastAsia"/>
          <w:color w:val="000000"/>
          <w:sz w:val="21"/>
          <w:szCs w:val="21"/>
        </w:rPr>
        <w:t>）</w:t>
      </w:r>
      <w:proofErr w:type="gramStart"/>
      <w:r w:rsidRPr="00A3576E">
        <w:rPr>
          <w:rFonts w:cs="Times New Roman" w:hint="eastAsia"/>
          <w:color w:val="000000"/>
          <w:sz w:val="21"/>
          <w:szCs w:val="21"/>
        </w:rPr>
        <w:t>该成本</w:t>
      </w:r>
      <w:proofErr w:type="gramEnd"/>
      <w:r w:rsidRPr="00A3576E">
        <w:rPr>
          <w:rFonts w:cs="Times New Roman" w:hint="eastAsia"/>
          <w:color w:val="000000"/>
          <w:sz w:val="21"/>
          <w:szCs w:val="21"/>
        </w:rPr>
        <w:t>与一份当前或预期取得的合同直接相关，包括直接人工、直接材料、制造费用（或类似费用）、明确由客户承担的成本以及仅因该合同而发生的其他成本；</w:t>
      </w:r>
    </w:p>
    <w:p w:rsidR="00A2119D" w:rsidRPr="00A3576E" w:rsidRDefault="00A2119D" w:rsidP="00A3576E">
      <w:pPr>
        <w:pStyle w:val="a3"/>
        <w:spacing w:before="0" w:beforeAutospacing="0" w:after="0" w:afterAutospacing="0" w:line="360" w:lineRule="auto"/>
        <w:ind w:firstLine="420"/>
        <w:jc w:val="both"/>
        <w:divId w:val="1196962292"/>
        <w:rPr>
          <w:rFonts w:cs="Times New Roman"/>
          <w:color w:val="000000"/>
          <w:sz w:val="21"/>
          <w:szCs w:val="21"/>
        </w:rPr>
      </w:pPr>
      <w:r w:rsidRPr="00A3576E">
        <w:rPr>
          <w:rFonts w:cs="Times New Roman" w:hint="eastAsia"/>
          <w:color w:val="000000"/>
          <w:sz w:val="21"/>
          <w:szCs w:val="21"/>
        </w:rPr>
        <w:t>（</w:t>
      </w:r>
      <w:r w:rsidRPr="00A3576E">
        <w:rPr>
          <w:rFonts w:cs="Times New Roman"/>
          <w:color w:val="000000"/>
          <w:sz w:val="21"/>
          <w:szCs w:val="21"/>
        </w:rPr>
        <w:t>2</w:t>
      </w:r>
      <w:r w:rsidRPr="00A3576E">
        <w:rPr>
          <w:rFonts w:cs="Times New Roman" w:hint="eastAsia"/>
          <w:color w:val="000000"/>
          <w:sz w:val="21"/>
          <w:szCs w:val="21"/>
        </w:rPr>
        <w:t>）</w:t>
      </w:r>
      <w:proofErr w:type="gramStart"/>
      <w:r w:rsidRPr="00A3576E">
        <w:rPr>
          <w:rFonts w:cs="Times New Roman" w:hint="eastAsia"/>
          <w:color w:val="000000"/>
          <w:sz w:val="21"/>
          <w:szCs w:val="21"/>
        </w:rPr>
        <w:t>该成本</w:t>
      </w:r>
      <w:proofErr w:type="gramEnd"/>
      <w:r w:rsidRPr="00A3576E">
        <w:rPr>
          <w:rFonts w:cs="Times New Roman" w:hint="eastAsia"/>
          <w:color w:val="000000"/>
          <w:sz w:val="21"/>
          <w:szCs w:val="21"/>
        </w:rPr>
        <w:t>增加了企业未来用于履行履约义务的资源；</w:t>
      </w:r>
    </w:p>
    <w:p w:rsidR="00A2119D" w:rsidRPr="00A3576E" w:rsidRDefault="00A2119D" w:rsidP="00A3576E">
      <w:pPr>
        <w:pStyle w:val="a3"/>
        <w:spacing w:before="0" w:beforeAutospacing="0" w:after="0" w:afterAutospacing="0" w:line="360" w:lineRule="auto"/>
        <w:ind w:firstLine="420"/>
        <w:jc w:val="both"/>
        <w:divId w:val="1196962292"/>
        <w:rPr>
          <w:rFonts w:cs="Times New Roman"/>
          <w:color w:val="000000"/>
          <w:sz w:val="21"/>
          <w:szCs w:val="21"/>
        </w:rPr>
      </w:pPr>
      <w:r w:rsidRPr="00A3576E">
        <w:rPr>
          <w:rFonts w:cs="Times New Roman" w:hint="eastAsia"/>
          <w:color w:val="000000"/>
          <w:sz w:val="21"/>
          <w:szCs w:val="21"/>
        </w:rPr>
        <w:lastRenderedPageBreak/>
        <w:t>（</w:t>
      </w:r>
      <w:r w:rsidRPr="00A3576E">
        <w:rPr>
          <w:rFonts w:cs="Times New Roman"/>
          <w:color w:val="000000"/>
          <w:sz w:val="21"/>
          <w:szCs w:val="21"/>
        </w:rPr>
        <w:t>3</w:t>
      </w:r>
      <w:r w:rsidRPr="00A3576E">
        <w:rPr>
          <w:rFonts w:cs="Times New Roman" w:hint="eastAsia"/>
          <w:color w:val="000000"/>
          <w:sz w:val="21"/>
          <w:szCs w:val="21"/>
        </w:rPr>
        <w:t>）</w:t>
      </w:r>
      <w:proofErr w:type="gramStart"/>
      <w:r w:rsidRPr="00A3576E">
        <w:rPr>
          <w:rFonts w:cs="Times New Roman" w:hint="eastAsia"/>
          <w:color w:val="000000"/>
          <w:sz w:val="21"/>
          <w:szCs w:val="21"/>
        </w:rPr>
        <w:t>该成本</w:t>
      </w:r>
      <w:proofErr w:type="gramEnd"/>
      <w:r w:rsidRPr="00A3576E">
        <w:rPr>
          <w:rFonts w:cs="Times New Roman" w:hint="eastAsia"/>
          <w:color w:val="000000"/>
          <w:sz w:val="21"/>
          <w:szCs w:val="21"/>
        </w:rPr>
        <w:t>预期能够收回。</w:t>
      </w:r>
    </w:p>
    <w:p w:rsidR="00A2119D" w:rsidRPr="00A3576E" w:rsidRDefault="00A2119D" w:rsidP="00A3576E">
      <w:pPr>
        <w:pStyle w:val="a3"/>
        <w:spacing w:before="0" w:beforeAutospacing="0" w:after="0" w:afterAutospacing="0" w:line="360" w:lineRule="auto"/>
        <w:ind w:firstLine="420"/>
        <w:jc w:val="both"/>
        <w:divId w:val="1196962292"/>
        <w:rPr>
          <w:rFonts w:cs="Times New Roman"/>
          <w:color w:val="000000"/>
          <w:sz w:val="21"/>
          <w:szCs w:val="21"/>
        </w:rPr>
      </w:pPr>
      <w:r w:rsidRPr="00A3576E">
        <w:rPr>
          <w:rFonts w:cs="Times New Roman" w:hint="eastAsia"/>
          <w:color w:val="000000"/>
          <w:sz w:val="21"/>
          <w:szCs w:val="21"/>
        </w:rPr>
        <w:t>合同取得成本确认的资产和合同履约成本确认的资产采用与该资产相关的商品或服务收入确认相同的基础进行摊销，计入当期损益。</w:t>
      </w:r>
    </w:p>
    <w:p w:rsidR="00A2119D" w:rsidRPr="00A3576E" w:rsidRDefault="00A2119D" w:rsidP="00A3576E">
      <w:pPr>
        <w:pStyle w:val="a3"/>
        <w:spacing w:before="0" w:beforeAutospacing="0" w:after="0" w:afterAutospacing="0" w:line="360" w:lineRule="auto"/>
        <w:ind w:firstLine="420"/>
        <w:jc w:val="both"/>
        <w:divId w:val="1196962292"/>
        <w:rPr>
          <w:rFonts w:cs="Times New Roman"/>
          <w:color w:val="000000"/>
          <w:sz w:val="21"/>
          <w:szCs w:val="21"/>
        </w:rPr>
      </w:pPr>
      <w:r w:rsidRPr="00A3576E">
        <w:rPr>
          <w:rFonts w:cs="Times New Roman" w:hint="eastAsia"/>
          <w:color w:val="000000"/>
          <w:sz w:val="21"/>
          <w:szCs w:val="21"/>
        </w:rPr>
        <w:t>与合同成本有关的资产，其账面价值高于下列两项差额的，本公司对超出部分计提减值准备，并确认为资产减值损失：</w:t>
      </w:r>
    </w:p>
    <w:p w:rsidR="00A2119D" w:rsidRPr="00A3576E" w:rsidRDefault="00A2119D" w:rsidP="00A3576E">
      <w:pPr>
        <w:pStyle w:val="a3"/>
        <w:spacing w:before="0" w:beforeAutospacing="0" w:after="0" w:afterAutospacing="0" w:line="360" w:lineRule="auto"/>
        <w:ind w:firstLine="420"/>
        <w:jc w:val="both"/>
        <w:divId w:val="1196962292"/>
        <w:rPr>
          <w:rFonts w:cs="Times New Roman"/>
          <w:color w:val="000000"/>
          <w:sz w:val="21"/>
          <w:szCs w:val="21"/>
        </w:rPr>
      </w:pPr>
      <w:r w:rsidRPr="00A3576E">
        <w:rPr>
          <w:rFonts w:cs="Times New Roman" w:hint="eastAsia"/>
          <w:color w:val="000000"/>
          <w:sz w:val="21"/>
          <w:szCs w:val="21"/>
        </w:rPr>
        <w:t>（</w:t>
      </w:r>
      <w:r w:rsidRPr="00A3576E">
        <w:rPr>
          <w:rFonts w:cs="Times New Roman"/>
          <w:color w:val="000000"/>
          <w:sz w:val="21"/>
          <w:szCs w:val="21"/>
        </w:rPr>
        <w:t>1</w:t>
      </w:r>
      <w:r w:rsidRPr="00A3576E">
        <w:rPr>
          <w:rFonts w:cs="Times New Roman" w:hint="eastAsia"/>
          <w:color w:val="000000"/>
          <w:sz w:val="21"/>
          <w:szCs w:val="21"/>
        </w:rPr>
        <w:t>）企业因转让与该资产相关的商品预期能够取得的剩余对价；</w:t>
      </w:r>
    </w:p>
    <w:p w:rsidR="00A2119D" w:rsidRPr="00A3576E" w:rsidRDefault="00A2119D" w:rsidP="00A3576E">
      <w:pPr>
        <w:pStyle w:val="a3"/>
        <w:spacing w:before="0" w:beforeAutospacing="0" w:after="0" w:afterAutospacing="0" w:line="360" w:lineRule="auto"/>
        <w:ind w:firstLine="420"/>
        <w:jc w:val="both"/>
        <w:divId w:val="1196962292"/>
        <w:rPr>
          <w:rFonts w:cs="Times New Roman"/>
          <w:color w:val="000000"/>
          <w:sz w:val="21"/>
          <w:szCs w:val="21"/>
        </w:rPr>
      </w:pPr>
      <w:r w:rsidRPr="00A3576E">
        <w:rPr>
          <w:rFonts w:cs="Times New Roman" w:hint="eastAsia"/>
          <w:color w:val="000000"/>
          <w:sz w:val="21"/>
          <w:szCs w:val="21"/>
        </w:rPr>
        <w:t>（</w:t>
      </w:r>
      <w:r w:rsidRPr="00A3576E">
        <w:rPr>
          <w:rFonts w:cs="Times New Roman"/>
          <w:color w:val="000000"/>
          <w:sz w:val="21"/>
          <w:szCs w:val="21"/>
        </w:rPr>
        <w:t>2</w:t>
      </w:r>
      <w:r w:rsidRPr="00A3576E">
        <w:rPr>
          <w:rFonts w:cs="Times New Roman" w:hint="eastAsia"/>
          <w:color w:val="000000"/>
          <w:sz w:val="21"/>
          <w:szCs w:val="21"/>
        </w:rPr>
        <w:t>）为转让</w:t>
      </w:r>
      <w:proofErr w:type="gramStart"/>
      <w:r w:rsidRPr="00A3576E">
        <w:rPr>
          <w:rFonts w:cs="Times New Roman" w:hint="eastAsia"/>
          <w:color w:val="000000"/>
          <w:sz w:val="21"/>
          <w:szCs w:val="21"/>
        </w:rPr>
        <w:t>该相关</w:t>
      </w:r>
      <w:proofErr w:type="gramEnd"/>
      <w:r w:rsidRPr="00A3576E">
        <w:rPr>
          <w:rFonts w:cs="Times New Roman" w:hint="eastAsia"/>
          <w:color w:val="000000"/>
          <w:sz w:val="21"/>
          <w:szCs w:val="21"/>
        </w:rPr>
        <w:t>商品估计将要发生的成本。</w:t>
      </w:r>
    </w:p>
    <w:p w:rsidR="00A2119D" w:rsidRPr="00A3576E" w:rsidRDefault="00A2119D" w:rsidP="00A3576E">
      <w:pPr>
        <w:pStyle w:val="a3"/>
        <w:spacing w:before="0" w:beforeAutospacing="0" w:after="0" w:afterAutospacing="0" w:line="360" w:lineRule="auto"/>
        <w:ind w:firstLine="420"/>
        <w:jc w:val="both"/>
        <w:divId w:val="1196962292"/>
        <w:rPr>
          <w:rFonts w:cs="Times New Roman"/>
          <w:color w:val="000000"/>
          <w:sz w:val="21"/>
          <w:szCs w:val="21"/>
        </w:rPr>
      </w:pPr>
      <w:r w:rsidRPr="00A3576E">
        <w:rPr>
          <w:rFonts w:cs="Times New Roman" w:hint="eastAsia"/>
          <w:color w:val="000000"/>
          <w:sz w:val="21"/>
          <w:szCs w:val="21"/>
        </w:rPr>
        <w:t>以前期间减值的因素之后发生变化，使得（</w:t>
      </w:r>
      <w:r w:rsidRPr="00A3576E">
        <w:rPr>
          <w:rFonts w:cs="Times New Roman"/>
          <w:color w:val="000000"/>
          <w:sz w:val="21"/>
          <w:szCs w:val="21"/>
        </w:rPr>
        <w:t>1</w:t>
      </w:r>
      <w:r w:rsidRPr="00A3576E">
        <w:rPr>
          <w:rFonts w:cs="Times New Roman" w:hint="eastAsia"/>
          <w:color w:val="000000"/>
          <w:sz w:val="21"/>
          <w:szCs w:val="21"/>
        </w:rPr>
        <w:t>）减（</w:t>
      </w:r>
      <w:r w:rsidRPr="00A3576E">
        <w:rPr>
          <w:rFonts w:cs="Times New Roman"/>
          <w:color w:val="000000"/>
          <w:sz w:val="21"/>
          <w:szCs w:val="21"/>
        </w:rPr>
        <w:t>2</w:t>
      </w:r>
      <w:r w:rsidRPr="00A3576E">
        <w:rPr>
          <w:rFonts w:cs="Times New Roman" w:hint="eastAsia"/>
          <w:color w:val="000000"/>
          <w:sz w:val="21"/>
          <w:szCs w:val="21"/>
        </w:rPr>
        <w:t>）的差额高于该资产账面价值的，应当转回原已计提的资产减值准备，并计入当期损益，但转回后的资产账面价值不应超过假定不计提减值准备情况下该资产在</w:t>
      </w:r>
      <w:proofErr w:type="gramStart"/>
      <w:r w:rsidRPr="00A3576E">
        <w:rPr>
          <w:rFonts w:cs="Times New Roman" w:hint="eastAsia"/>
          <w:color w:val="000000"/>
          <w:sz w:val="21"/>
          <w:szCs w:val="21"/>
        </w:rPr>
        <w:t>转回日</w:t>
      </w:r>
      <w:proofErr w:type="gramEnd"/>
      <w:r w:rsidRPr="00A3576E">
        <w:rPr>
          <w:rFonts w:cs="Times New Roman" w:hint="eastAsia"/>
          <w:color w:val="000000"/>
          <w:sz w:val="21"/>
          <w:szCs w:val="21"/>
        </w:rPr>
        <w:t>的账面价值。</w:t>
      </w:r>
    </w:p>
    <w:p w:rsidR="00A27D66" w:rsidRDefault="00A2119D">
      <w:pPr>
        <w:pStyle w:val="3"/>
        <w:spacing w:line="280" w:lineRule="exact"/>
        <w:jc w:val="left"/>
        <w:rPr>
          <w:rFonts w:ascii="宋体" w:hAnsi="宋体" w:cs="宋体"/>
          <w:b/>
          <w:bCs/>
        </w:rPr>
      </w:pPr>
      <w:bookmarkStart w:id="214" w:name="_Toc989098"/>
      <w:r>
        <w:rPr>
          <w:rFonts w:ascii="宋体" w:hAnsi="宋体" w:cs="宋体"/>
          <w:b/>
          <w:bCs/>
        </w:rPr>
        <w:t>39、政府补助</w:t>
      </w:r>
      <w:bookmarkEnd w:id="214"/>
    </w:p>
    <w:p w:rsidR="00A2119D" w:rsidRPr="00A3576E" w:rsidRDefault="00A2119D" w:rsidP="00A3576E">
      <w:pPr>
        <w:pStyle w:val="a3"/>
        <w:spacing w:before="0" w:beforeAutospacing="0" w:after="0" w:afterAutospacing="0" w:line="360" w:lineRule="auto"/>
        <w:ind w:firstLine="420"/>
        <w:jc w:val="both"/>
        <w:divId w:val="2122647864"/>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1</w:t>
      </w:r>
      <w:r>
        <w:rPr>
          <w:rFonts w:cs="Times New Roman" w:hint="eastAsia"/>
          <w:color w:val="000000"/>
          <w:sz w:val="21"/>
          <w:szCs w:val="21"/>
        </w:rPr>
        <w:t>）政府补助的确认</w:t>
      </w:r>
    </w:p>
    <w:p w:rsidR="00A2119D" w:rsidRPr="00A3576E" w:rsidRDefault="00A2119D" w:rsidP="00A3576E">
      <w:pPr>
        <w:pStyle w:val="a3"/>
        <w:spacing w:before="0" w:beforeAutospacing="0" w:after="0" w:afterAutospacing="0" w:line="360" w:lineRule="auto"/>
        <w:ind w:firstLine="420"/>
        <w:jc w:val="both"/>
        <w:divId w:val="2122647864"/>
        <w:rPr>
          <w:rFonts w:cs="Times New Roman"/>
          <w:color w:val="000000"/>
          <w:sz w:val="21"/>
          <w:szCs w:val="21"/>
        </w:rPr>
      </w:pPr>
      <w:r w:rsidRPr="00A3576E">
        <w:rPr>
          <w:rFonts w:cs="Times New Roman" w:hint="eastAsia"/>
          <w:color w:val="000000"/>
          <w:sz w:val="21"/>
          <w:szCs w:val="21"/>
        </w:rPr>
        <w:t>本公司在能够满足政府补助所附条件且能够收到政府补助时确认政府补助。政府补助为货币性资产的，</w:t>
      </w:r>
      <w:proofErr w:type="gramStart"/>
      <w:r w:rsidRPr="00A3576E">
        <w:rPr>
          <w:rFonts w:cs="Times New Roman" w:hint="eastAsia"/>
          <w:color w:val="000000"/>
          <w:sz w:val="21"/>
          <w:szCs w:val="21"/>
        </w:rPr>
        <w:t>按收到</w:t>
      </w:r>
      <w:proofErr w:type="gramEnd"/>
      <w:r w:rsidRPr="00A3576E">
        <w:rPr>
          <w:rFonts w:cs="Times New Roman" w:hint="eastAsia"/>
          <w:color w:val="000000"/>
          <w:sz w:val="21"/>
          <w:szCs w:val="21"/>
        </w:rPr>
        <w:t>或应收的金额计量；政府补助为非货币性资产的，按公允价值计量，如公允价值不能可靠取得，则按名义金额计量。</w:t>
      </w:r>
    </w:p>
    <w:p w:rsidR="00A2119D" w:rsidRPr="00A3576E" w:rsidRDefault="00A2119D" w:rsidP="00A3576E">
      <w:pPr>
        <w:pStyle w:val="a3"/>
        <w:spacing w:before="0" w:beforeAutospacing="0" w:after="0" w:afterAutospacing="0" w:line="360" w:lineRule="auto"/>
        <w:ind w:firstLine="420"/>
        <w:jc w:val="both"/>
        <w:divId w:val="2122647864"/>
        <w:rPr>
          <w:rFonts w:cs="Times New Roman"/>
          <w:color w:val="000000"/>
          <w:sz w:val="21"/>
          <w:szCs w:val="21"/>
        </w:rPr>
      </w:pPr>
      <w:r w:rsidRPr="00A3576E">
        <w:rPr>
          <w:rFonts w:cs="Times New Roman" w:hint="eastAsia"/>
          <w:color w:val="000000"/>
          <w:sz w:val="21"/>
          <w:szCs w:val="21"/>
        </w:rPr>
        <w:t>与资产相关的政府补助，是指本公司取得的、用于购建或以其他方式形成长期资产的政府补助；除此之外，作为与收益相关的政府补助。对于政府文件未明确规定补助对象的，能够形成长期资产的，与资产价值相对应的政府补助部分作为与资产相关的政府补助，其余部分作为与收益相关的政府补助；难以区分的，将政府补助整体作为与收益相关的政府补助。</w:t>
      </w:r>
    </w:p>
    <w:p w:rsidR="00A2119D" w:rsidRPr="00A3576E" w:rsidRDefault="00A2119D" w:rsidP="00A3576E">
      <w:pPr>
        <w:pStyle w:val="a3"/>
        <w:spacing w:before="0" w:beforeAutospacing="0" w:after="0" w:afterAutospacing="0" w:line="360" w:lineRule="auto"/>
        <w:ind w:firstLine="420"/>
        <w:jc w:val="both"/>
        <w:divId w:val="2122647864"/>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2</w:t>
      </w:r>
      <w:r>
        <w:rPr>
          <w:rFonts w:cs="Times New Roman" w:hint="eastAsia"/>
          <w:color w:val="000000"/>
          <w:sz w:val="21"/>
          <w:szCs w:val="21"/>
        </w:rPr>
        <w:t>）政府补助的会计处理</w:t>
      </w:r>
    </w:p>
    <w:p w:rsidR="00A2119D" w:rsidRPr="00A3576E" w:rsidRDefault="00A2119D" w:rsidP="00A3576E">
      <w:pPr>
        <w:pStyle w:val="a3"/>
        <w:spacing w:before="0" w:beforeAutospacing="0" w:after="0" w:afterAutospacing="0" w:line="360" w:lineRule="auto"/>
        <w:ind w:firstLine="420"/>
        <w:jc w:val="both"/>
        <w:divId w:val="2122647864"/>
        <w:rPr>
          <w:rFonts w:cs="Times New Roman"/>
          <w:color w:val="000000"/>
          <w:sz w:val="21"/>
          <w:szCs w:val="21"/>
        </w:rPr>
      </w:pPr>
      <w:r w:rsidRPr="00A3576E">
        <w:rPr>
          <w:rFonts w:cs="Times New Roman" w:hint="eastAsia"/>
          <w:color w:val="000000"/>
          <w:sz w:val="21"/>
          <w:szCs w:val="21"/>
        </w:rPr>
        <w:t>①</w:t>
      </w:r>
      <w:r>
        <w:rPr>
          <w:rFonts w:cs="Times New Roman" w:hint="eastAsia"/>
          <w:color w:val="000000"/>
          <w:sz w:val="21"/>
          <w:szCs w:val="21"/>
        </w:rPr>
        <w:t>与资产相关的政府补助，</w:t>
      </w:r>
      <w:proofErr w:type="gramStart"/>
      <w:r>
        <w:rPr>
          <w:rFonts w:cs="Times New Roman" w:hint="eastAsia"/>
          <w:color w:val="000000"/>
          <w:sz w:val="21"/>
          <w:szCs w:val="21"/>
        </w:rPr>
        <w:t>确认为递延</w:t>
      </w:r>
      <w:proofErr w:type="gramEnd"/>
      <w:r>
        <w:rPr>
          <w:rFonts w:cs="Times New Roman" w:hint="eastAsia"/>
          <w:color w:val="000000"/>
          <w:sz w:val="21"/>
          <w:szCs w:val="21"/>
        </w:rPr>
        <w:t>收益，在相关资产使用寿命内按照合理、系统的方法分期计入损益。按照名义金额计量的政府补助，直接计入当期损益。</w:t>
      </w:r>
    </w:p>
    <w:p w:rsidR="00A2119D" w:rsidRPr="00A3576E" w:rsidRDefault="00A2119D" w:rsidP="00A3576E">
      <w:pPr>
        <w:pStyle w:val="a3"/>
        <w:spacing w:before="0" w:beforeAutospacing="0" w:after="0" w:afterAutospacing="0" w:line="360" w:lineRule="auto"/>
        <w:ind w:firstLine="420"/>
        <w:jc w:val="both"/>
        <w:divId w:val="2122647864"/>
        <w:rPr>
          <w:rFonts w:cs="Times New Roman"/>
          <w:color w:val="000000"/>
          <w:sz w:val="21"/>
          <w:szCs w:val="21"/>
        </w:rPr>
      </w:pPr>
      <w:r w:rsidRPr="00A3576E">
        <w:rPr>
          <w:rFonts w:cs="Times New Roman" w:hint="eastAsia"/>
          <w:color w:val="000000"/>
          <w:sz w:val="21"/>
          <w:szCs w:val="21"/>
        </w:rPr>
        <w:t>②</w:t>
      </w:r>
      <w:r>
        <w:rPr>
          <w:rFonts w:cs="Times New Roman" w:hint="eastAsia"/>
          <w:color w:val="000000"/>
          <w:sz w:val="21"/>
          <w:szCs w:val="21"/>
        </w:rPr>
        <w:t>与收益相关的政府补助，用于补偿以后期间的相关费用和损失的，</w:t>
      </w:r>
      <w:proofErr w:type="gramStart"/>
      <w:r>
        <w:rPr>
          <w:rFonts w:cs="Times New Roman" w:hint="eastAsia"/>
          <w:color w:val="000000"/>
          <w:sz w:val="21"/>
          <w:szCs w:val="21"/>
        </w:rPr>
        <w:t>确认为递延</w:t>
      </w:r>
      <w:proofErr w:type="gramEnd"/>
      <w:r>
        <w:rPr>
          <w:rFonts w:cs="Times New Roman" w:hint="eastAsia"/>
          <w:color w:val="000000"/>
          <w:sz w:val="21"/>
          <w:szCs w:val="21"/>
        </w:rPr>
        <w:t>收益，并在确认相关费用的期间计入当期损益或冲减相关成本；用于补偿已经发生的相关费用和损失的，直接计入当期损益</w:t>
      </w:r>
      <w:r w:rsidRPr="00A3576E">
        <w:rPr>
          <w:rFonts w:cs="Times New Roman"/>
          <w:color w:val="000000"/>
          <w:sz w:val="21"/>
          <w:szCs w:val="21"/>
        </w:rPr>
        <w:t>/</w:t>
      </w:r>
      <w:r>
        <w:rPr>
          <w:rFonts w:cs="Times New Roman" w:hint="eastAsia"/>
          <w:color w:val="000000"/>
          <w:sz w:val="21"/>
          <w:szCs w:val="21"/>
        </w:rPr>
        <w:t>冲减相关成本费用。</w:t>
      </w:r>
    </w:p>
    <w:p w:rsidR="005117FD" w:rsidRDefault="00A2119D" w:rsidP="005117FD">
      <w:pPr>
        <w:pStyle w:val="a3"/>
        <w:widowControl w:val="0"/>
        <w:spacing w:before="0" w:beforeAutospacing="0" w:after="0" w:afterAutospacing="0" w:line="360" w:lineRule="auto"/>
        <w:ind w:firstLine="420"/>
        <w:jc w:val="both"/>
        <w:divId w:val="2122647864"/>
        <w:rPr>
          <w:rFonts w:cs="Times New Roman"/>
          <w:color w:val="000000"/>
          <w:sz w:val="21"/>
          <w:szCs w:val="21"/>
        </w:rPr>
      </w:pPr>
      <w:r>
        <w:rPr>
          <w:rFonts w:cs="Times New Roman" w:hint="eastAsia"/>
          <w:color w:val="000000"/>
          <w:sz w:val="21"/>
          <w:szCs w:val="21"/>
        </w:rPr>
        <w:t>与企业日常活动相关的政府补助，按照经济业务实质，计入其他收益</w:t>
      </w:r>
      <w:r w:rsidRPr="00A3576E">
        <w:rPr>
          <w:rFonts w:cs="Times New Roman"/>
          <w:color w:val="000000"/>
          <w:sz w:val="21"/>
          <w:szCs w:val="21"/>
        </w:rPr>
        <w:t>/</w:t>
      </w:r>
      <w:r>
        <w:rPr>
          <w:rFonts w:cs="Times New Roman" w:hint="eastAsia"/>
          <w:color w:val="000000"/>
          <w:sz w:val="21"/>
          <w:szCs w:val="21"/>
        </w:rPr>
        <w:t>冲减相关成本费用。与企业日常活动无关的政府补助，计入营业外收支。</w:t>
      </w:r>
    </w:p>
    <w:p w:rsidR="00A2119D" w:rsidRPr="00A3576E" w:rsidRDefault="00A2119D" w:rsidP="005117FD">
      <w:pPr>
        <w:pStyle w:val="a3"/>
        <w:widowControl w:val="0"/>
        <w:spacing w:before="0" w:beforeAutospacing="0" w:after="0" w:afterAutospacing="0" w:line="360" w:lineRule="auto"/>
        <w:ind w:firstLine="420"/>
        <w:jc w:val="both"/>
        <w:divId w:val="2122647864"/>
        <w:rPr>
          <w:rFonts w:cs="Times New Roman"/>
          <w:color w:val="000000"/>
          <w:sz w:val="21"/>
          <w:szCs w:val="21"/>
        </w:rPr>
      </w:pPr>
      <w:r>
        <w:rPr>
          <w:rFonts w:cs="Times New Roman" w:hint="eastAsia"/>
          <w:color w:val="000000"/>
          <w:sz w:val="21"/>
          <w:szCs w:val="21"/>
        </w:rPr>
        <w:t>已确认的政府补助需要退回的，在需要退回的当期分情况按照以下规定进行会计处理：</w:t>
      </w:r>
      <w:r w:rsidRPr="00A3576E">
        <w:rPr>
          <w:rFonts w:cs="Times New Roman" w:hint="eastAsia"/>
          <w:color w:val="000000"/>
          <w:sz w:val="21"/>
          <w:szCs w:val="21"/>
        </w:rPr>
        <w:t>①</w:t>
      </w:r>
      <w:r>
        <w:rPr>
          <w:rFonts w:cs="Times New Roman" w:hint="eastAsia"/>
          <w:color w:val="000000"/>
          <w:sz w:val="21"/>
          <w:szCs w:val="21"/>
        </w:rPr>
        <w:t>初始确认时冲减相关资产账面价值的，调整资产账面价值；</w:t>
      </w:r>
      <w:r w:rsidRPr="00A3576E">
        <w:rPr>
          <w:rFonts w:cs="Times New Roman" w:hint="eastAsia"/>
          <w:color w:val="000000"/>
          <w:sz w:val="21"/>
          <w:szCs w:val="21"/>
        </w:rPr>
        <w:t>②</w:t>
      </w:r>
      <w:r>
        <w:rPr>
          <w:rFonts w:cs="Times New Roman" w:hint="eastAsia"/>
          <w:color w:val="000000"/>
          <w:sz w:val="21"/>
          <w:szCs w:val="21"/>
        </w:rPr>
        <w:t>存在相关递延收益的，冲减相关递延收益账面余额，</w:t>
      </w:r>
      <w:r>
        <w:rPr>
          <w:rFonts w:cs="Times New Roman" w:hint="eastAsia"/>
          <w:color w:val="000000"/>
          <w:sz w:val="21"/>
          <w:szCs w:val="21"/>
        </w:rPr>
        <w:lastRenderedPageBreak/>
        <w:t>超出部分计入当期损益；</w:t>
      </w:r>
      <w:r w:rsidRPr="00A3576E">
        <w:rPr>
          <w:rFonts w:cs="Times New Roman" w:hint="eastAsia"/>
          <w:color w:val="000000"/>
          <w:sz w:val="21"/>
          <w:szCs w:val="21"/>
        </w:rPr>
        <w:t>③</w:t>
      </w:r>
      <w:r>
        <w:rPr>
          <w:rFonts w:cs="Times New Roman" w:hint="eastAsia"/>
          <w:color w:val="000000"/>
          <w:sz w:val="21"/>
          <w:szCs w:val="21"/>
        </w:rPr>
        <w:t>属于其他情况的，直接计入当期损益。</w:t>
      </w:r>
    </w:p>
    <w:p w:rsidR="00A27D66" w:rsidRDefault="00A2119D">
      <w:pPr>
        <w:pStyle w:val="3"/>
        <w:spacing w:line="280" w:lineRule="exact"/>
        <w:jc w:val="left"/>
        <w:rPr>
          <w:rFonts w:ascii="宋体" w:hAnsi="宋体" w:cs="宋体"/>
          <w:b/>
          <w:bCs/>
        </w:rPr>
      </w:pPr>
      <w:bookmarkStart w:id="215" w:name="_Toc989099"/>
      <w:r>
        <w:rPr>
          <w:rFonts w:ascii="宋体" w:hAnsi="宋体" w:cs="宋体"/>
          <w:b/>
          <w:bCs/>
        </w:rPr>
        <w:t>40、递延所得税资产/递延所得税负债</w:t>
      </w:r>
      <w:bookmarkEnd w:id="215"/>
    </w:p>
    <w:p w:rsidR="00A2119D" w:rsidRPr="00A3576E" w:rsidRDefault="00A2119D" w:rsidP="00A3576E">
      <w:pPr>
        <w:pStyle w:val="a3"/>
        <w:spacing w:before="0" w:beforeAutospacing="0" w:after="0" w:afterAutospacing="0" w:line="360" w:lineRule="auto"/>
        <w:ind w:firstLine="420"/>
        <w:jc w:val="both"/>
        <w:divId w:val="632710518"/>
        <w:rPr>
          <w:rFonts w:cs="Times New Roman"/>
          <w:color w:val="000000"/>
          <w:sz w:val="21"/>
          <w:szCs w:val="21"/>
        </w:rPr>
      </w:pPr>
      <w:r>
        <w:rPr>
          <w:rFonts w:cs="Times New Roman" w:hint="eastAsia"/>
          <w:color w:val="000000"/>
          <w:sz w:val="21"/>
          <w:szCs w:val="21"/>
        </w:rPr>
        <w:t>所得税费用的会计处理采用资产负债表债务法核算。资产负债表日，公司按照可抵扣暂时性差异与适用所得税税率计算的结果，确认递延所得税资产及相应的递延所得税收益；按照应纳税暂时性差异与适用企业所得税税率计算的结果，确认递延所得税负债及相应的递延所得税费用。</w:t>
      </w:r>
    </w:p>
    <w:p w:rsidR="00A2119D" w:rsidRPr="00A3576E" w:rsidRDefault="00A2119D" w:rsidP="00A3576E">
      <w:pPr>
        <w:pStyle w:val="a3"/>
        <w:spacing w:before="0" w:beforeAutospacing="0" w:after="0" w:afterAutospacing="0" w:line="360" w:lineRule="auto"/>
        <w:ind w:firstLine="420"/>
        <w:jc w:val="both"/>
        <w:divId w:val="632710518"/>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1</w:t>
      </w:r>
      <w:r>
        <w:rPr>
          <w:rFonts w:cs="Times New Roman" w:hint="eastAsia"/>
          <w:color w:val="000000"/>
          <w:sz w:val="21"/>
          <w:szCs w:val="21"/>
        </w:rPr>
        <w:t>）递延所得税资产的确认</w:t>
      </w:r>
    </w:p>
    <w:p w:rsidR="00A2119D" w:rsidRPr="00A3576E" w:rsidRDefault="00A2119D" w:rsidP="00A3576E">
      <w:pPr>
        <w:pStyle w:val="a3"/>
        <w:spacing w:before="0" w:beforeAutospacing="0" w:after="0" w:afterAutospacing="0" w:line="360" w:lineRule="auto"/>
        <w:ind w:firstLine="420"/>
        <w:jc w:val="both"/>
        <w:divId w:val="632710518"/>
        <w:rPr>
          <w:rFonts w:cs="Times New Roman"/>
          <w:color w:val="000000"/>
          <w:sz w:val="21"/>
          <w:szCs w:val="21"/>
        </w:rPr>
      </w:pPr>
      <w:r>
        <w:rPr>
          <w:rFonts w:cs="Times New Roman" w:hint="eastAsia"/>
          <w:color w:val="000000"/>
          <w:sz w:val="21"/>
          <w:szCs w:val="21"/>
        </w:rPr>
        <w:t>公司以很可能取得用来抵扣可抵扣暂时性差异的应纳税所得额为限，确认由可抵扣暂时性差异产生的递延所得税资产。但是同时具有下列特征的交易（除初始确认的资产和负债导致产生等额应纳税暂时性差异和可抵扣暂时性差异的单项交易以外）中因资产或负债的初始确认所产生的递延所得税资产不予确认：</w:t>
      </w:r>
      <w:r w:rsidRPr="00A3576E">
        <w:rPr>
          <w:rFonts w:cs="Times New Roman"/>
          <w:color w:val="000000"/>
          <w:sz w:val="21"/>
          <w:szCs w:val="21"/>
        </w:rPr>
        <w:t>A</w:t>
      </w:r>
      <w:r>
        <w:rPr>
          <w:rFonts w:cs="Times New Roman" w:hint="eastAsia"/>
          <w:color w:val="000000"/>
          <w:sz w:val="21"/>
          <w:szCs w:val="21"/>
        </w:rPr>
        <w:t>：该项交易不是企业合并；</w:t>
      </w:r>
      <w:r w:rsidRPr="00A3576E">
        <w:rPr>
          <w:rFonts w:cs="Times New Roman"/>
          <w:color w:val="000000"/>
          <w:sz w:val="21"/>
          <w:szCs w:val="21"/>
        </w:rPr>
        <w:t>B</w:t>
      </w:r>
      <w:r>
        <w:rPr>
          <w:rFonts w:cs="Times New Roman" w:hint="eastAsia"/>
          <w:color w:val="000000"/>
          <w:sz w:val="21"/>
          <w:szCs w:val="21"/>
        </w:rPr>
        <w:t>：交易发生时既不影响会计利润也不影响应纳税所得额（或可抵扣亏损）。</w:t>
      </w:r>
    </w:p>
    <w:p w:rsidR="00A2119D" w:rsidRPr="00A3576E" w:rsidRDefault="00A2119D" w:rsidP="00A3576E">
      <w:pPr>
        <w:pStyle w:val="a3"/>
        <w:spacing w:before="0" w:beforeAutospacing="0" w:after="0" w:afterAutospacing="0" w:line="360" w:lineRule="auto"/>
        <w:ind w:firstLine="420"/>
        <w:jc w:val="both"/>
        <w:divId w:val="632710518"/>
        <w:rPr>
          <w:rFonts w:cs="Times New Roman"/>
          <w:color w:val="000000"/>
          <w:sz w:val="21"/>
          <w:szCs w:val="21"/>
        </w:rPr>
      </w:pPr>
      <w:r>
        <w:rPr>
          <w:rFonts w:cs="Times New Roman" w:hint="eastAsia"/>
          <w:color w:val="000000"/>
          <w:sz w:val="21"/>
          <w:szCs w:val="21"/>
        </w:rPr>
        <w:t>公司对与子公司、联营公司及合营企业投资相关的可抵扣暂时性差异，同时满足下列条件的，确认相应的递延所得税资产：暂时性差异在可预见的未来很可能转回；未来很可能获得用来抵扣暂时性差异的应纳税所得额。</w:t>
      </w:r>
    </w:p>
    <w:p w:rsidR="00A2119D" w:rsidRPr="00A3576E" w:rsidRDefault="00A2119D" w:rsidP="00A3576E">
      <w:pPr>
        <w:pStyle w:val="a3"/>
        <w:spacing w:before="0" w:beforeAutospacing="0" w:after="0" w:afterAutospacing="0" w:line="360" w:lineRule="auto"/>
        <w:ind w:firstLine="420"/>
        <w:jc w:val="both"/>
        <w:divId w:val="632710518"/>
        <w:rPr>
          <w:rFonts w:cs="Times New Roman"/>
          <w:color w:val="000000"/>
          <w:sz w:val="21"/>
          <w:szCs w:val="21"/>
        </w:rPr>
      </w:pPr>
      <w:r>
        <w:rPr>
          <w:rFonts w:cs="Times New Roman" w:hint="eastAsia"/>
          <w:color w:val="000000"/>
          <w:sz w:val="21"/>
          <w:szCs w:val="21"/>
        </w:rPr>
        <w:t>公司对于能够结转以后年度的可抵扣亏损和税款抵减，以很可能获得用来抵扣可抵扣亏损和税款抵减的未来应纳税所得额为限，确认相应的递延所得税资产。</w:t>
      </w:r>
    </w:p>
    <w:p w:rsidR="00A2119D" w:rsidRPr="00A3576E" w:rsidRDefault="00A2119D" w:rsidP="00A3576E">
      <w:pPr>
        <w:pStyle w:val="a3"/>
        <w:spacing w:before="0" w:beforeAutospacing="0" w:after="0" w:afterAutospacing="0" w:line="360" w:lineRule="auto"/>
        <w:ind w:firstLine="420"/>
        <w:jc w:val="both"/>
        <w:divId w:val="632710518"/>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2</w:t>
      </w:r>
      <w:r>
        <w:rPr>
          <w:rFonts w:cs="Times New Roman" w:hint="eastAsia"/>
          <w:color w:val="000000"/>
          <w:sz w:val="21"/>
          <w:szCs w:val="21"/>
        </w:rPr>
        <w:t>）递延所得税负债的确认</w:t>
      </w:r>
    </w:p>
    <w:p w:rsidR="00A2119D" w:rsidRPr="00A3576E" w:rsidRDefault="00A2119D" w:rsidP="00A3576E">
      <w:pPr>
        <w:pStyle w:val="a3"/>
        <w:spacing w:before="0" w:beforeAutospacing="0" w:after="0" w:afterAutospacing="0" w:line="360" w:lineRule="auto"/>
        <w:ind w:firstLine="420"/>
        <w:jc w:val="both"/>
        <w:divId w:val="632710518"/>
        <w:rPr>
          <w:rFonts w:cs="Times New Roman"/>
          <w:color w:val="000000"/>
          <w:sz w:val="21"/>
          <w:szCs w:val="21"/>
        </w:rPr>
      </w:pPr>
      <w:r>
        <w:rPr>
          <w:rFonts w:cs="Times New Roman" w:hint="eastAsia"/>
          <w:color w:val="000000"/>
          <w:sz w:val="21"/>
          <w:szCs w:val="21"/>
        </w:rPr>
        <w:t>除下列情况产生的递延所得税负债以外，本公司确认所有应纳税暂时性差异产生的递延所得税负债：</w:t>
      </w:r>
      <w:r w:rsidRPr="00A3576E">
        <w:rPr>
          <w:rFonts w:cs="Times New Roman"/>
          <w:color w:val="000000"/>
          <w:sz w:val="21"/>
          <w:szCs w:val="21"/>
        </w:rPr>
        <w:t>A</w:t>
      </w:r>
      <w:r>
        <w:rPr>
          <w:rFonts w:cs="Times New Roman" w:hint="eastAsia"/>
          <w:color w:val="000000"/>
          <w:sz w:val="21"/>
          <w:szCs w:val="21"/>
        </w:rPr>
        <w:t>：商誉的初始确认；</w:t>
      </w:r>
      <w:r w:rsidRPr="00A3576E">
        <w:rPr>
          <w:rFonts w:cs="Times New Roman"/>
          <w:color w:val="000000"/>
          <w:sz w:val="21"/>
          <w:szCs w:val="21"/>
        </w:rPr>
        <w:t>B</w:t>
      </w:r>
      <w:r>
        <w:rPr>
          <w:rFonts w:cs="Times New Roman" w:hint="eastAsia"/>
          <w:color w:val="000000"/>
          <w:sz w:val="21"/>
          <w:szCs w:val="21"/>
        </w:rPr>
        <w:t>：同时满足具有下列特征的交易（除初始确认的资产和负债导致产生等额应纳税暂时性差异和可抵扣暂时性差异的单项交易以外）中产生的资产或负债的初始确认：</w:t>
      </w:r>
      <w:r w:rsidRPr="00A3576E">
        <w:rPr>
          <w:rFonts w:cs="Times New Roman" w:hint="eastAsia"/>
          <w:color w:val="000000"/>
          <w:sz w:val="21"/>
          <w:szCs w:val="21"/>
        </w:rPr>
        <w:t>①</w:t>
      </w:r>
      <w:r>
        <w:rPr>
          <w:rFonts w:cs="Times New Roman" w:hint="eastAsia"/>
          <w:color w:val="000000"/>
          <w:sz w:val="21"/>
          <w:szCs w:val="21"/>
        </w:rPr>
        <w:t>该项交易不是企业合并；</w:t>
      </w:r>
      <w:r w:rsidRPr="00A3576E">
        <w:rPr>
          <w:rFonts w:cs="Times New Roman" w:hint="eastAsia"/>
          <w:color w:val="000000"/>
          <w:sz w:val="21"/>
          <w:szCs w:val="21"/>
        </w:rPr>
        <w:t>②</w:t>
      </w:r>
      <w:r>
        <w:rPr>
          <w:rFonts w:cs="Times New Roman" w:hint="eastAsia"/>
          <w:color w:val="000000"/>
          <w:sz w:val="21"/>
          <w:szCs w:val="21"/>
        </w:rPr>
        <w:t>交易发生时既不影响会计利润也不影响应纳税所得额（或可抵扣亏损）；</w:t>
      </w:r>
      <w:r w:rsidRPr="00A3576E">
        <w:rPr>
          <w:rFonts w:cs="Times New Roman"/>
          <w:color w:val="000000"/>
          <w:sz w:val="21"/>
          <w:szCs w:val="21"/>
        </w:rPr>
        <w:t>C</w:t>
      </w:r>
      <w:r>
        <w:rPr>
          <w:rFonts w:cs="Times New Roman" w:hint="eastAsia"/>
          <w:color w:val="000000"/>
          <w:sz w:val="21"/>
          <w:szCs w:val="21"/>
        </w:rPr>
        <w:t>：公司对与子公司、联营公司及合营企业投资产生相关的应纳税暂时性差异，同时满足下列条件的：</w:t>
      </w:r>
      <w:r w:rsidRPr="00A3576E">
        <w:rPr>
          <w:rFonts w:cs="Times New Roman" w:hint="eastAsia"/>
          <w:color w:val="000000"/>
          <w:sz w:val="21"/>
          <w:szCs w:val="21"/>
        </w:rPr>
        <w:t>①</w:t>
      </w:r>
      <w:r>
        <w:rPr>
          <w:rFonts w:cs="Times New Roman" w:hint="eastAsia"/>
          <w:color w:val="000000"/>
          <w:sz w:val="21"/>
          <w:szCs w:val="21"/>
        </w:rPr>
        <w:t>投资企业能够控制暂时性差异的转回的时间；</w:t>
      </w:r>
      <w:r w:rsidRPr="00A3576E">
        <w:rPr>
          <w:rFonts w:cs="Times New Roman" w:hint="eastAsia"/>
          <w:color w:val="000000"/>
          <w:sz w:val="21"/>
          <w:szCs w:val="21"/>
        </w:rPr>
        <w:t>②</w:t>
      </w:r>
      <w:r>
        <w:rPr>
          <w:rFonts w:cs="Times New Roman" w:hint="eastAsia"/>
          <w:color w:val="000000"/>
          <w:sz w:val="21"/>
          <w:szCs w:val="21"/>
        </w:rPr>
        <w:t>该暂时性差异在可预见的未来很可能不会转回。</w:t>
      </w:r>
    </w:p>
    <w:p w:rsidR="0056507F" w:rsidRDefault="00A2119D" w:rsidP="0056507F">
      <w:pPr>
        <w:pStyle w:val="a3"/>
        <w:widowControl w:val="0"/>
        <w:spacing w:before="0" w:beforeAutospacing="0" w:after="0" w:afterAutospacing="0" w:line="360" w:lineRule="auto"/>
        <w:ind w:firstLine="420"/>
        <w:jc w:val="both"/>
        <w:divId w:val="632710518"/>
        <w:rPr>
          <w:rFonts w:cs="Times New Roman"/>
          <w:color w:val="000000"/>
          <w:sz w:val="21"/>
          <w:szCs w:val="21"/>
        </w:rPr>
      </w:pPr>
      <w:r>
        <w:rPr>
          <w:rFonts w:cs="Times New Roman" w:hint="eastAsia"/>
          <w:color w:val="000000"/>
          <w:sz w:val="21"/>
          <w:szCs w:val="21"/>
        </w:rPr>
        <w:t>资产负债表日，本公司对递延所得税资产和递延所得税负债，按照预期收回该资产或清偿该负债期间的适用税率计量，并反映资产负债表日预期收回资产或清偿负债方式的所得税影响。</w:t>
      </w:r>
    </w:p>
    <w:p w:rsidR="00A2119D" w:rsidRPr="00A3576E" w:rsidRDefault="00A2119D" w:rsidP="0056507F">
      <w:pPr>
        <w:pStyle w:val="a3"/>
        <w:widowControl w:val="0"/>
        <w:spacing w:before="0" w:beforeAutospacing="0" w:after="0" w:afterAutospacing="0" w:line="360" w:lineRule="auto"/>
        <w:ind w:firstLine="420"/>
        <w:jc w:val="both"/>
        <w:divId w:val="632710518"/>
        <w:rPr>
          <w:rFonts w:cs="Times New Roman"/>
          <w:color w:val="000000"/>
          <w:sz w:val="21"/>
          <w:szCs w:val="21"/>
        </w:rPr>
      </w:pPr>
      <w:r>
        <w:rPr>
          <w:rFonts w:cs="Times New Roman" w:hint="eastAsia"/>
          <w:color w:val="000000"/>
          <w:sz w:val="21"/>
          <w:szCs w:val="21"/>
        </w:rPr>
        <w:t>资产负债表日，本公司对递延所得税资产的账面价值进行复核。如果未来期间很可能无法获得足够的应纳税所得额用以抵扣递延所得税资产的利益，</w:t>
      </w:r>
      <w:proofErr w:type="gramStart"/>
      <w:r>
        <w:rPr>
          <w:rFonts w:cs="Times New Roman" w:hint="eastAsia"/>
          <w:color w:val="000000"/>
          <w:sz w:val="21"/>
          <w:szCs w:val="21"/>
        </w:rPr>
        <w:t>减记递</w:t>
      </w:r>
      <w:proofErr w:type="gramEnd"/>
      <w:r>
        <w:rPr>
          <w:rFonts w:cs="Times New Roman" w:hint="eastAsia"/>
          <w:color w:val="000000"/>
          <w:sz w:val="21"/>
          <w:szCs w:val="21"/>
        </w:rPr>
        <w:t>延所得税资产的账面价值。在很可能获得足够的应纳税所得额时，</w:t>
      </w:r>
      <w:proofErr w:type="gramStart"/>
      <w:r>
        <w:rPr>
          <w:rFonts w:cs="Times New Roman" w:hint="eastAsia"/>
          <w:color w:val="000000"/>
          <w:sz w:val="21"/>
          <w:szCs w:val="21"/>
        </w:rPr>
        <w:t>减记的</w:t>
      </w:r>
      <w:proofErr w:type="gramEnd"/>
      <w:r>
        <w:rPr>
          <w:rFonts w:cs="Times New Roman" w:hint="eastAsia"/>
          <w:color w:val="000000"/>
          <w:sz w:val="21"/>
          <w:szCs w:val="21"/>
        </w:rPr>
        <w:t>金额予以转回。</w:t>
      </w:r>
    </w:p>
    <w:p w:rsidR="00A2119D" w:rsidRPr="00A3576E" w:rsidRDefault="00A2119D" w:rsidP="00A3576E">
      <w:pPr>
        <w:pStyle w:val="a3"/>
        <w:spacing w:before="0" w:beforeAutospacing="0" w:after="0" w:afterAutospacing="0" w:line="360" w:lineRule="auto"/>
        <w:ind w:firstLine="420"/>
        <w:jc w:val="both"/>
        <w:divId w:val="632710518"/>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3</w:t>
      </w:r>
      <w:r>
        <w:rPr>
          <w:rFonts w:cs="Times New Roman" w:hint="eastAsia"/>
          <w:color w:val="000000"/>
          <w:sz w:val="21"/>
          <w:szCs w:val="21"/>
        </w:rPr>
        <w:t>）递延所得税资产和递延所得税负债以净额列示的依据</w:t>
      </w:r>
    </w:p>
    <w:p w:rsidR="00A2119D" w:rsidRPr="00A3576E" w:rsidRDefault="00A2119D" w:rsidP="00A3576E">
      <w:pPr>
        <w:pStyle w:val="a3"/>
        <w:spacing w:before="0" w:beforeAutospacing="0" w:after="0" w:afterAutospacing="0" w:line="360" w:lineRule="auto"/>
        <w:ind w:firstLine="420"/>
        <w:jc w:val="both"/>
        <w:divId w:val="632710518"/>
        <w:rPr>
          <w:rFonts w:cs="Times New Roman"/>
          <w:color w:val="000000"/>
          <w:sz w:val="21"/>
          <w:szCs w:val="21"/>
        </w:rPr>
      </w:pPr>
      <w:r>
        <w:rPr>
          <w:rFonts w:cs="Times New Roman" w:hint="eastAsia"/>
          <w:color w:val="000000"/>
          <w:sz w:val="21"/>
          <w:szCs w:val="21"/>
        </w:rPr>
        <w:lastRenderedPageBreak/>
        <w:t>资产负债表日，递延所得税资产和递延所得税负债在同时满足下列条件时以</w:t>
      </w:r>
      <w:proofErr w:type="gramStart"/>
      <w:r>
        <w:rPr>
          <w:rFonts w:cs="Times New Roman" w:hint="eastAsia"/>
          <w:color w:val="000000"/>
          <w:sz w:val="21"/>
          <w:szCs w:val="21"/>
        </w:rPr>
        <w:t>抵销</w:t>
      </w:r>
      <w:proofErr w:type="gramEnd"/>
      <w:r>
        <w:rPr>
          <w:rFonts w:cs="Times New Roman" w:hint="eastAsia"/>
          <w:color w:val="000000"/>
          <w:sz w:val="21"/>
          <w:szCs w:val="21"/>
        </w:rPr>
        <w:t>后的净额列示：</w:t>
      </w:r>
    </w:p>
    <w:p w:rsidR="00A2119D" w:rsidRPr="00A3576E" w:rsidRDefault="00A2119D" w:rsidP="00A3576E">
      <w:pPr>
        <w:pStyle w:val="a3"/>
        <w:spacing w:before="0" w:beforeAutospacing="0" w:after="0" w:afterAutospacing="0" w:line="360" w:lineRule="auto"/>
        <w:ind w:firstLine="420"/>
        <w:jc w:val="both"/>
        <w:divId w:val="632710518"/>
        <w:rPr>
          <w:rFonts w:cs="Times New Roman"/>
          <w:color w:val="000000"/>
          <w:sz w:val="21"/>
          <w:szCs w:val="21"/>
        </w:rPr>
      </w:pPr>
      <w:r>
        <w:rPr>
          <w:rFonts w:cs="Times New Roman" w:hint="eastAsia"/>
          <w:color w:val="000000"/>
          <w:sz w:val="21"/>
          <w:szCs w:val="21"/>
        </w:rPr>
        <w:t>①本公司内该纳税主体拥有以净额结算当期所得税资产和当期所得税负债的法定权利；</w:t>
      </w:r>
    </w:p>
    <w:p w:rsidR="00A2119D" w:rsidRPr="00A3576E" w:rsidRDefault="00A2119D" w:rsidP="00A3576E">
      <w:pPr>
        <w:pStyle w:val="a3"/>
        <w:spacing w:before="0" w:beforeAutospacing="0" w:after="0" w:afterAutospacing="0" w:line="360" w:lineRule="auto"/>
        <w:ind w:firstLine="420"/>
        <w:jc w:val="both"/>
        <w:divId w:val="632710518"/>
        <w:rPr>
          <w:rFonts w:cs="Times New Roman"/>
          <w:color w:val="000000"/>
          <w:sz w:val="21"/>
          <w:szCs w:val="21"/>
        </w:rPr>
      </w:pPr>
      <w:r>
        <w:rPr>
          <w:rFonts w:cs="Times New Roman" w:hint="eastAsia"/>
          <w:color w:val="000000"/>
          <w:sz w:val="21"/>
          <w:szCs w:val="21"/>
        </w:rPr>
        <w:t>②递延所得税资产和递延所得税负债是与同</w:t>
      </w:r>
      <w:proofErr w:type="gramStart"/>
      <w:r>
        <w:rPr>
          <w:rFonts w:cs="Times New Roman" w:hint="eastAsia"/>
          <w:color w:val="000000"/>
          <w:sz w:val="21"/>
          <w:szCs w:val="21"/>
        </w:rPr>
        <w:t>一税收</w:t>
      </w:r>
      <w:proofErr w:type="gramEnd"/>
      <w:r>
        <w:rPr>
          <w:rFonts w:cs="Times New Roman" w:hint="eastAsia"/>
          <w:color w:val="000000"/>
          <w:sz w:val="21"/>
          <w:szCs w:val="21"/>
        </w:rPr>
        <w:t>征管部门对本公司内同一纳税主体征收的所得税相关。</w:t>
      </w:r>
    </w:p>
    <w:p w:rsidR="00A27D66" w:rsidRDefault="00A2119D">
      <w:pPr>
        <w:pStyle w:val="3"/>
        <w:spacing w:line="280" w:lineRule="exact"/>
        <w:jc w:val="left"/>
        <w:rPr>
          <w:rFonts w:ascii="宋体" w:hAnsi="宋体" w:cs="宋体"/>
          <w:b/>
          <w:bCs/>
        </w:rPr>
      </w:pPr>
      <w:bookmarkStart w:id="216" w:name="_Toc989100"/>
      <w:r>
        <w:rPr>
          <w:rFonts w:ascii="宋体" w:hAnsi="宋体" w:cs="宋体"/>
          <w:b/>
          <w:bCs/>
        </w:rPr>
        <w:t>41、租赁</w:t>
      </w:r>
      <w:bookmarkEnd w:id="216"/>
    </w:p>
    <w:p w:rsidR="00A27D66" w:rsidRDefault="00A2119D">
      <w:pPr>
        <w:keepNext/>
        <w:keepLines/>
        <w:spacing w:before="300" w:after="300" w:line="280" w:lineRule="exact"/>
        <w:outlineLvl w:val="3"/>
        <w:rPr>
          <w:rFonts w:ascii="宋体" w:eastAsia="宋体" w:hAnsi="宋体" w:cs="宋体"/>
          <w:b/>
          <w:bCs/>
          <w:szCs w:val="21"/>
        </w:rPr>
      </w:pPr>
      <w:bookmarkStart w:id="217" w:name="_Toc989101"/>
      <w:r>
        <w:rPr>
          <w:rFonts w:ascii="宋体" w:eastAsia="宋体" w:hAnsi="宋体" w:cs="宋体"/>
          <w:b/>
          <w:bCs/>
          <w:szCs w:val="21"/>
        </w:rPr>
        <w:t>（1） 作为承租方租赁的会计处理方法</w:t>
      </w:r>
      <w:bookmarkEnd w:id="217"/>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Pr>
          <w:rFonts w:cs="Times New Roman" w:hint="eastAsia"/>
          <w:color w:val="000000"/>
          <w:sz w:val="21"/>
          <w:szCs w:val="21"/>
        </w:rPr>
        <w:t>除采用简化处理的短期租赁和低价值资产租赁外，在租赁期开始日，公司对租赁确认使用权资产和租赁负债。</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sidRPr="00A3576E">
        <w:rPr>
          <w:rFonts w:cs="Times New Roman" w:hint="eastAsia"/>
          <w:color w:val="000000"/>
          <w:sz w:val="21"/>
          <w:szCs w:val="21"/>
        </w:rPr>
        <w:t>①使用权资产</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Pr>
          <w:rFonts w:cs="Times New Roman" w:hint="eastAsia"/>
          <w:color w:val="000000"/>
          <w:sz w:val="21"/>
          <w:szCs w:val="21"/>
        </w:rPr>
        <w:t>使用权资产按照成本进行初始计量，</w:t>
      </w:r>
      <w:proofErr w:type="gramStart"/>
      <w:r>
        <w:rPr>
          <w:rFonts w:cs="Times New Roman" w:hint="eastAsia"/>
          <w:color w:val="000000"/>
          <w:sz w:val="21"/>
          <w:szCs w:val="21"/>
        </w:rPr>
        <w:t>该成本</w:t>
      </w:r>
      <w:proofErr w:type="gramEnd"/>
      <w:r>
        <w:rPr>
          <w:rFonts w:cs="Times New Roman" w:hint="eastAsia"/>
          <w:color w:val="000000"/>
          <w:sz w:val="21"/>
          <w:szCs w:val="21"/>
        </w:rPr>
        <w:t>包括：</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sidRPr="00A3576E">
        <w:rPr>
          <w:rFonts w:cs="Times New Roman" w:hint="eastAsia"/>
          <w:color w:val="000000"/>
          <w:sz w:val="21"/>
          <w:szCs w:val="21"/>
        </w:rPr>
        <w:t>租赁负债的初始计量金额；</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sidRPr="00A3576E">
        <w:rPr>
          <w:rFonts w:cs="Times New Roman" w:hint="eastAsia"/>
          <w:color w:val="000000"/>
          <w:sz w:val="21"/>
          <w:szCs w:val="21"/>
        </w:rPr>
        <w:t>在租赁期开始日或之前支付的租赁付款额，存在租赁激励的，扣除已享受的租赁激励相关金额；</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sidRPr="00A3576E">
        <w:rPr>
          <w:rFonts w:cs="Times New Roman" w:hint="eastAsia"/>
          <w:color w:val="000000"/>
          <w:sz w:val="21"/>
          <w:szCs w:val="21"/>
        </w:rPr>
        <w:t>承租人发生的初始直接费用；</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sidRPr="00A3576E">
        <w:rPr>
          <w:rFonts w:cs="Times New Roman" w:hint="eastAsia"/>
          <w:color w:val="000000"/>
          <w:sz w:val="21"/>
          <w:szCs w:val="21"/>
        </w:rPr>
        <w:t>承租人为拆卸及移除租赁资产、复原租赁资产所在场地或将租赁资产恢复至租赁条款约定状态预计将发生的成本。</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Pr>
          <w:rFonts w:cs="Times New Roman" w:hint="eastAsia"/>
          <w:color w:val="000000"/>
          <w:sz w:val="21"/>
          <w:szCs w:val="21"/>
        </w:rPr>
        <w:t>公司按照直线法对使用权资产计提折旧。能够合理确定租赁期届满时取得租赁资产所有权的，公司在租赁资产剩余使用寿命内计提折旧。无法合理确定租赁期届满时能够取得租赁资产所有权的，公司在租赁期与租赁资产剩余使用寿命两者孰短的期间内计提折旧。</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sidRPr="00A3576E">
        <w:rPr>
          <w:rFonts w:cs="Times New Roman" w:hint="eastAsia"/>
          <w:color w:val="000000"/>
          <w:sz w:val="21"/>
          <w:szCs w:val="21"/>
        </w:rPr>
        <w:t>②租赁负债</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Pr>
          <w:rFonts w:cs="Times New Roman" w:hint="eastAsia"/>
          <w:color w:val="000000"/>
          <w:sz w:val="21"/>
          <w:szCs w:val="21"/>
        </w:rPr>
        <w:t>在租赁期开始日，公司将尚未支付的租赁付款额的现值确认为租赁负债。租赁付款额包括：</w:t>
      </w:r>
      <w:r w:rsidRPr="00A3576E">
        <w:rPr>
          <w:rFonts w:cs="Times New Roman"/>
          <w:color w:val="000000"/>
          <w:sz w:val="21"/>
          <w:szCs w:val="21"/>
        </w:rPr>
        <w:t>A.</w:t>
      </w:r>
      <w:r>
        <w:rPr>
          <w:rFonts w:cs="Times New Roman" w:hint="eastAsia"/>
          <w:color w:val="000000"/>
          <w:sz w:val="21"/>
          <w:szCs w:val="21"/>
        </w:rPr>
        <w:t>固定付款额及实质固定付款额，存在租赁激励的，扣除租赁激励相关金额；</w:t>
      </w:r>
      <w:r w:rsidRPr="00A3576E">
        <w:rPr>
          <w:rFonts w:cs="Times New Roman"/>
          <w:color w:val="000000"/>
          <w:sz w:val="21"/>
          <w:szCs w:val="21"/>
        </w:rPr>
        <w:t>B.</w:t>
      </w:r>
      <w:r>
        <w:rPr>
          <w:rFonts w:cs="Times New Roman" w:hint="eastAsia"/>
          <w:color w:val="000000"/>
          <w:sz w:val="21"/>
          <w:szCs w:val="21"/>
        </w:rPr>
        <w:t>取决于指数或比率的可变租赁付款额；</w:t>
      </w:r>
      <w:r w:rsidRPr="00A3576E">
        <w:rPr>
          <w:rFonts w:cs="Times New Roman"/>
          <w:color w:val="000000"/>
          <w:sz w:val="21"/>
          <w:szCs w:val="21"/>
        </w:rPr>
        <w:t>C.</w:t>
      </w:r>
      <w:r>
        <w:rPr>
          <w:rFonts w:cs="Times New Roman" w:hint="eastAsia"/>
          <w:color w:val="000000"/>
          <w:sz w:val="21"/>
          <w:szCs w:val="21"/>
        </w:rPr>
        <w:t>购买选择权的行权价格，前提是承租人合理确定将行使该选择权；</w:t>
      </w:r>
      <w:r w:rsidRPr="00A3576E">
        <w:rPr>
          <w:rFonts w:cs="Times New Roman"/>
          <w:color w:val="000000"/>
          <w:sz w:val="21"/>
          <w:szCs w:val="21"/>
        </w:rPr>
        <w:t>D.</w:t>
      </w:r>
      <w:r>
        <w:rPr>
          <w:rFonts w:cs="Times New Roman" w:hint="eastAsia"/>
          <w:color w:val="000000"/>
          <w:sz w:val="21"/>
          <w:szCs w:val="21"/>
        </w:rPr>
        <w:t>行使终止租赁选择权需支付的款项，前提是租赁</w:t>
      </w:r>
      <w:proofErr w:type="gramStart"/>
      <w:r>
        <w:rPr>
          <w:rFonts w:cs="Times New Roman" w:hint="eastAsia"/>
          <w:color w:val="000000"/>
          <w:sz w:val="21"/>
          <w:szCs w:val="21"/>
        </w:rPr>
        <w:t>期反映</w:t>
      </w:r>
      <w:proofErr w:type="gramEnd"/>
      <w:r>
        <w:rPr>
          <w:rFonts w:cs="Times New Roman" w:hint="eastAsia"/>
          <w:color w:val="000000"/>
          <w:sz w:val="21"/>
          <w:szCs w:val="21"/>
        </w:rPr>
        <w:t>出承租人将行使终止租赁选择权；</w:t>
      </w:r>
      <w:r w:rsidRPr="00A3576E">
        <w:rPr>
          <w:rFonts w:cs="Times New Roman"/>
          <w:color w:val="000000"/>
          <w:sz w:val="21"/>
          <w:szCs w:val="21"/>
        </w:rPr>
        <w:t>E.</w:t>
      </w:r>
      <w:r>
        <w:rPr>
          <w:rFonts w:cs="Times New Roman" w:hint="eastAsia"/>
          <w:color w:val="000000"/>
          <w:sz w:val="21"/>
          <w:szCs w:val="21"/>
        </w:rPr>
        <w:t>根据承租人提供的担保余值预计应支付的款项。</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Pr>
          <w:rFonts w:cs="Times New Roman" w:hint="eastAsia"/>
          <w:color w:val="000000"/>
          <w:sz w:val="21"/>
          <w:szCs w:val="21"/>
        </w:rPr>
        <w:t>计算租赁付款额现值时采用租赁内含利率作为折现率，无法确定租赁内含利率的，采用公司增量借款利率作为折现率。租赁付款额与其现值之间的差额作为未确认融资费用，在租赁</w:t>
      </w:r>
      <w:proofErr w:type="gramStart"/>
      <w:r>
        <w:rPr>
          <w:rFonts w:cs="Times New Roman" w:hint="eastAsia"/>
          <w:color w:val="000000"/>
          <w:sz w:val="21"/>
          <w:szCs w:val="21"/>
        </w:rPr>
        <w:t>期各个</w:t>
      </w:r>
      <w:proofErr w:type="gramEnd"/>
      <w:r>
        <w:rPr>
          <w:rFonts w:cs="Times New Roman" w:hint="eastAsia"/>
          <w:color w:val="000000"/>
          <w:sz w:val="21"/>
          <w:szCs w:val="21"/>
        </w:rPr>
        <w:t>期间内按照确认租赁付款额现值的折现率确认利息费用，并计入当期损益。未纳入租赁负债计量的可变租赁付款额于实际发生时计入当期损益。</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Pr>
          <w:rFonts w:cs="Times New Roman" w:hint="eastAsia"/>
          <w:color w:val="000000"/>
          <w:sz w:val="21"/>
          <w:szCs w:val="21"/>
        </w:rPr>
        <w:lastRenderedPageBreak/>
        <w:t>租赁期开始日后，当实质固定付款额发生变动、担保余值预计的应付金额发生变化、用于确定租赁付款额的指数或比率发生变动、购买选择权、续租选择权或终止选择权的评估结果或实际行权情况发生变化时，公司按照变动后的租赁付款额的现值重新计量租赁负债，并相应调整使用权资产的账面价值，如使用权资产账面价值已调减至零，但租赁负债仍需进一步调减的，将剩余金额计入当期损益。</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sidRPr="00A3576E">
        <w:rPr>
          <w:rFonts w:cs="Times New Roman" w:hint="eastAsia"/>
          <w:color w:val="000000"/>
          <w:sz w:val="21"/>
          <w:szCs w:val="21"/>
        </w:rPr>
        <w:t>③租赁变更</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sidRPr="00A3576E">
        <w:rPr>
          <w:rFonts w:cs="Times New Roman" w:hint="eastAsia"/>
          <w:color w:val="000000"/>
          <w:sz w:val="21"/>
          <w:szCs w:val="21"/>
        </w:rPr>
        <w:t>租赁发生变更且同时符合下列条件的，公司将该租赁变更作为一项单独租赁进行会计处理：</w:t>
      </w:r>
      <w:r w:rsidRPr="00A3576E">
        <w:rPr>
          <w:rFonts w:cs="Times New Roman"/>
          <w:color w:val="000000"/>
          <w:sz w:val="21"/>
          <w:szCs w:val="21"/>
        </w:rPr>
        <w:t>A.</w:t>
      </w:r>
      <w:r w:rsidRPr="00A3576E">
        <w:rPr>
          <w:rFonts w:cs="Times New Roman" w:hint="eastAsia"/>
          <w:color w:val="000000"/>
          <w:sz w:val="21"/>
          <w:szCs w:val="21"/>
        </w:rPr>
        <w:t>该租赁变更通过增加一项或多项租赁资产的使用权而扩大了租赁范围；</w:t>
      </w:r>
      <w:r w:rsidRPr="00A3576E">
        <w:rPr>
          <w:rFonts w:cs="Times New Roman"/>
          <w:color w:val="000000"/>
          <w:sz w:val="21"/>
          <w:szCs w:val="21"/>
        </w:rPr>
        <w:t>B.</w:t>
      </w:r>
      <w:r w:rsidRPr="00A3576E">
        <w:rPr>
          <w:rFonts w:cs="Times New Roman" w:hint="eastAsia"/>
          <w:color w:val="000000"/>
          <w:sz w:val="21"/>
          <w:szCs w:val="21"/>
        </w:rPr>
        <w:t>增加的对价与租赁范围扩大部分的单独价格按该合同情况调整后的金额相当。</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Pr>
          <w:rFonts w:cs="Times New Roman" w:hint="eastAsia"/>
          <w:color w:val="000000"/>
          <w:sz w:val="21"/>
          <w:szCs w:val="21"/>
        </w:rPr>
        <w:t>租赁变更未作为一项单独租赁进行会计处理的，在租赁变更生效日，公司重新分摊变更后合同的对价，重新确定租赁期，并按照变更后租赁付款额和修订后的折现率计算的现值重新计量租赁负债。</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Pr>
          <w:rFonts w:cs="Times New Roman" w:hint="eastAsia"/>
          <w:color w:val="000000"/>
          <w:sz w:val="21"/>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Pr>
          <w:rFonts w:cs="Times New Roman" w:hint="eastAsia"/>
          <w:color w:val="000000"/>
          <w:sz w:val="21"/>
          <w:szCs w:val="21"/>
        </w:rPr>
        <w:t>④售后租回交易：</w:t>
      </w:r>
    </w:p>
    <w:p w:rsidR="00A2119D" w:rsidRPr="00A3576E" w:rsidRDefault="00A2119D" w:rsidP="00A3576E">
      <w:pPr>
        <w:pStyle w:val="a3"/>
        <w:spacing w:before="0" w:beforeAutospacing="0" w:after="0" w:afterAutospacing="0" w:line="360" w:lineRule="auto"/>
        <w:ind w:firstLine="420"/>
        <w:jc w:val="both"/>
        <w:divId w:val="1609966493"/>
        <w:rPr>
          <w:rFonts w:cs="Times New Roman"/>
          <w:color w:val="000000"/>
          <w:sz w:val="21"/>
          <w:szCs w:val="21"/>
        </w:rPr>
      </w:pPr>
      <w:r>
        <w:rPr>
          <w:rFonts w:cs="Times New Roman" w:hint="eastAsia"/>
          <w:color w:val="000000"/>
          <w:sz w:val="21"/>
          <w:szCs w:val="21"/>
        </w:rPr>
        <w:t xml:space="preserve">售后租回交易中的资产转让属于销售的，公司按原资产账面价值中与租回获得的使用权有关的部分，计量售后租回所形成的使用权资产，并仅就转让至出租人的权利确认相关利得或损失。如果销售对价的公允价值与资产的公允价值不同，或者出租人未按市场价格收取租金，公司将销售对价低于市场价格的款项作为预付租金进行会计处理，将高于市场价格的款项作为出租人向承租人提供的额外融资进行会计处理；同时按照公允价值调整相关销售利得或损失。售后租回交易中的资产转让不属于销售的，公司继续确认被转让资产，同时确认一项与转让收入等额的金融负债。 </w:t>
      </w:r>
    </w:p>
    <w:p w:rsidR="00A27D66" w:rsidRDefault="00A2119D">
      <w:pPr>
        <w:keepNext/>
        <w:keepLines/>
        <w:spacing w:before="300" w:after="300" w:line="280" w:lineRule="exact"/>
        <w:outlineLvl w:val="3"/>
        <w:rPr>
          <w:rFonts w:ascii="宋体" w:eastAsia="宋体" w:hAnsi="宋体" w:cs="宋体"/>
          <w:b/>
          <w:bCs/>
          <w:szCs w:val="21"/>
        </w:rPr>
      </w:pPr>
      <w:bookmarkStart w:id="218" w:name="_Toc989102"/>
      <w:r>
        <w:rPr>
          <w:rFonts w:ascii="宋体" w:eastAsia="宋体" w:hAnsi="宋体" w:cs="宋体"/>
          <w:b/>
          <w:bCs/>
          <w:szCs w:val="21"/>
        </w:rPr>
        <w:t>（2） 作为出租方租赁的会计处理方法</w:t>
      </w:r>
      <w:bookmarkEnd w:id="218"/>
    </w:p>
    <w:p w:rsidR="00A2119D" w:rsidRPr="00A3576E" w:rsidRDefault="00A2119D" w:rsidP="00A3576E">
      <w:pPr>
        <w:pStyle w:val="a3"/>
        <w:spacing w:before="0" w:beforeAutospacing="0" w:after="0" w:afterAutospacing="0" w:line="360" w:lineRule="auto"/>
        <w:ind w:firstLine="420"/>
        <w:jc w:val="both"/>
        <w:divId w:val="1303542420"/>
        <w:rPr>
          <w:rFonts w:cs="Times New Roman"/>
          <w:color w:val="000000"/>
          <w:sz w:val="21"/>
          <w:szCs w:val="21"/>
        </w:rPr>
      </w:pPr>
      <w:r>
        <w:rPr>
          <w:rFonts w:cs="Times New Roman" w:hint="eastAsia"/>
          <w:color w:val="000000"/>
          <w:sz w:val="21"/>
          <w:szCs w:val="21"/>
        </w:rPr>
        <w:t>在租赁开始日，公司将实质上转移了与租赁资产所有权有关的几乎全部风险和报酬的租赁划分为融资租赁，除此之外的均为经营租赁。</w:t>
      </w:r>
    </w:p>
    <w:p w:rsidR="00A2119D" w:rsidRPr="00A3576E" w:rsidRDefault="00A2119D" w:rsidP="00A3576E">
      <w:pPr>
        <w:pStyle w:val="a3"/>
        <w:spacing w:before="0" w:beforeAutospacing="0" w:after="0" w:afterAutospacing="0" w:line="360" w:lineRule="auto"/>
        <w:ind w:firstLine="420"/>
        <w:jc w:val="both"/>
        <w:divId w:val="1303542420"/>
        <w:rPr>
          <w:rFonts w:cs="Times New Roman"/>
          <w:color w:val="000000"/>
          <w:sz w:val="21"/>
          <w:szCs w:val="21"/>
        </w:rPr>
      </w:pPr>
      <w:r w:rsidRPr="00A3576E">
        <w:rPr>
          <w:rFonts w:cs="Times New Roman" w:hint="eastAsia"/>
          <w:color w:val="000000"/>
          <w:sz w:val="21"/>
          <w:szCs w:val="21"/>
        </w:rPr>
        <w:t>①经营租赁</w:t>
      </w:r>
    </w:p>
    <w:p w:rsidR="00A2119D" w:rsidRPr="00A3576E" w:rsidRDefault="00A2119D" w:rsidP="00A3576E">
      <w:pPr>
        <w:pStyle w:val="a3"/>
        <w:spacing w:before="0" w:beforeAutospacing="0" w:after="0" w:afterAutospacing="0" w:line="360" w:lineRule="auto"/>
        <w:ind w:firstLine="420"/>
        <w:jc w:val="both"/>
        <w:divId w:val="1303542420"/>
        <w:rPr>
          <w:rFonts w:cs="Times New Roman"/>
          <w:color w:val="000000"/>
          <w:sz w:val="21"/>
          <w:szCs w:val="21"/>
        </w:rPr>
      </w:pPr>
      <w:r w:rsidRPr="00A3576E">
        <w:rPr>
          <w:rFonts w:cs="Times New Roman" w:hint="eastAsia"/>
          <w:color w:val="000000"/>
          <w:sz w:val="21"/>
          <w:szCs w:val="21"/>
        </w:rPr>
        <w:t>经营租赁的</w:t>
      </w:r>
      <w:proofErr w:type="gramStart"/>
      <w:r w:rsidRPr="00A3576E">
        <w:rPr>
          <w:rFonts w:cs="Times New Roman" w:hint="eastAsia"/>
          <w:color w:val="000000"/>
          <w:sz w:val="21"/>
          <w:szCs w:val="21"/>
        </w:rPr>
        <w:t>租赁收</w:t>
      </w:r>
      <w:proofErr w:type="gramEnd"/>
      <w:r w:rsidRPr="00A3576E">
        <w:rPr>
          <w:rFonts w:cs="Times New Roman" w:hint="eastAsia"/>
          <w:color w:val="000000"/>
          <w:sz w:val="21"/>
          <w:szCs w:val="21"/>
        </w:rPr>
        <w:t>款额在租赁期内各个期间按照直线法确认为租金收入。公司将发生的与经营租赁有关的初始直接费用予以资本化，在租赁期内按照与租金收入确认相同的基础分摊计入当期损益。未计入</w:t>
      </w:r>
      <w:proofErr w:type="gramStart"/>
      <w:r w:rsidRPr="00A3576E">
        <w:rPr>
          <w:rFonts w:cs="Times New Roman" w:hint="eastAsia"/>
          <w:color w:val="000000"/>
          <w:sz w:val="21"/>
          <w:szCs w:val="21"/>
        </w:rPr>
        <w:t>租赁收</w:t>
      </w:r>
      <w:proofErr w:type="gramEnd"/>
      <w:r w:rsidRPr="00A3576E">
        <w:rPr>
          <w:rFonts w:cs="Times New Roman" w:hint="eastAsia"/>
          <w:color w:val="000000"/>
          <w:sz w:val="21"/>
          <w:szCs w:val="21"/>
        </w:rPr>
        <w:t>款额的可变租赁付款额在实际发生时计入当期损益。</w:t>
      </w:r>
    </w:p>
    <w:p w:rsidR="00A2119D" w:rsidRPr="00A3576E" w:rsidRDefault="00A2119D" w:rsidP="00A3576E">
      <w:pPr>
        <w:pStyle w:val="a3"/>
        <w:spacing w:before="0" w:beforeAutospacing="0" w:after="0" w:afterAutospacing="0" w:line="360" w:lineRule="auto"/>
        <w:ind w:firstLine="420"/>
        <w:jc w:val="both"/>
        <w:divId w:val="1303542420"/>
        <w:rPr>
          <w:rFonts w:cs="Times New Roman"/>
          <w:color w:val="000000"/>
          <w:sz w:val="21"/>
          <w:szCs w:val="21"/>
        </w:rPr>
      </w:pPr>
      <w:r w:rsidRPr="00A3576E">
        <w:rPr>
          <w:rFonts w:cs="Times New Roman" w:hint="eastAsia"/>
          <w:color w:val="000000"/>
          <w:sz w:val="21"/>
          <w:szCs w:val="21"/>
        </w:rPr>
        <w:t>②融资租赁</w:t>
      </w:r>
    </w:p>
    <w:p w:rsidR="00A2119D" w:rsidRPr="00A3576E" w:rsidRDefault="00A2119D" w:rsidP="00A3576E">
      <w:pPr>
        <w:pStyle w:val="a3"/>
        <w:spacing w:before="0" w:beforeAutospacing="0" w:after="0" w:afterAutospacing="0" w:line="360" w:lineRule="auto"/>
        <w:ind w:firstLine="420"/>
        <w:jc w:val="both"/>
        <w:divId w:val="1303542420"/>
        <w:rPr>
          <w:rFonts w:cs="Times New Roman"/>
          <w:color w:val="000000"/>
          <w:sz w:val="21"/>
          <w:szCs w:val="21"/>
        </w:rPr>
      </w:pPr>
      <w:r w:rsidRPr="00A3576E">
        <w:rPr>
          <w:rFonts w:cs="Times New Roman" w:hint="eastAsia"/>
          <w:color w:val="000000"/>
          <w:sz w:val="21"/>
          <w:szCs w:val="21"/>
        </w:rPr>
        <w:lastRenderedPageBreak/>
        <w:t>在租赁开始日，公司对融资租赁确认应收融资租赁款，并终止确认融资租赁资产。公司对应收融资租赁款进行初始计量时，将租赁投资净额作为应收融资租赁款的入账价值。租赁投资净额为未担保余值和租赁期开始日尚未收到的</w:t>
      </w:r>
      <w:proofErr w:type="gramStart"/>
      <w:r w:rsidRPr="00A3576E">
        <w:rPr>
          <w:rFonts w:cs="Times New Roman" w:hint="eastAsia"/>
          <w:color w:val="000000"/>
          <w:sz w:val="21"/>
          <w:szCs w:val="21"/>
        </w:rPr>
        <w:t>租赁收</w:t>
      </w:r>
      <w:proofErr w:type="gramEnd"/>
      <w:r w:rsidRPr="00A3576E">
        <w:rPr>
          <w:rFonts w:cs="Times New Roman" w:hint="eastAsia"/>
          <w:color w:val="000000"/>
          <w:sz w:val="21"/>
          <w:szCs w:val="21"/>
        </w:rPr>
        <w:t>款额按照租赁内含利率折现的现值之</w:t>
      </w:r>
      <w:proofErr w:type="gramStart"/>
      <w:r w:rsidRPr="00A3576E">
        <w:rPr>
          <w:rFonts w:cs="Times New Roman" w:hint="eastAsia"/>
          <w:color w:val="000000"/>
          <w:sz w:val="21"/>
          <w:szCs w:val="21"/>
        </w:rPr>
        <w:t>和</w:t>
      </w:r>
      <w:proofErr w:type="gramEnd"/>
      <w:r w:rsidRPr="00A3576E">
        <w:rPr>
          <w:rFonts w:cs="Times New Roman" w:hint="eastAsia"/>
          <w:color w:val="000000"/>
          <w:sz w:val="21"/>
          <w:szCs w:val="21"/>
        </w:rPr>
        <w:t>。公司按照固定的周期性利率计算并确认租赁期内各个期间的利息收入。应收融资租赁款的终止确认和减值详见本附注</w:t>
      </w:r>
      <w:r w:rsidRPr="00A3576E">
        <w:rPr>
          <w:rFonts w:cs="Times New Roman"/>
          <w:color w:val="000000"/>
          <w:sz w:val="21"/>
          <w:szCs w:val="21"/>
        </w:rPr>
        <w:t>“</w:t>
      </w:r>
      <w:r w:rsidR="00745844">
        <w:rPr>
          <w:rFonts w:cs="Times New Roman" w:hint="eastAsia"/>
          <w:color w:val="000000"/>
          <w:sz w:val="21"/>
          <w:szCs w:val="21"/>
        </w:rPr>
        <w:t>五</w:t>
      </w:r>
      <w:r w:rsidRPr="00A3576E">
        <w:rPr>
          <w:rFonts w:cs="Times New Roman" w:hint="eastAsia"/>
          <w:color w:val="000000"/>
          <w:sz w:val="21"/>
          <w:szCs w:val="21"/>
        </w:rPr>
        <w:t>、</w:t>
      </w:r>
      <w:r w:rsidRPr="00A3576E">
        <w:rPr>
          <w:rFonts w:cs="Times New Roman"/>
          <w:color w:val="000000"/>
          <w:sz w:val="21"/>
          <w:szCs w:val="21"/>
        </w:rPr>
        <w:t>11</w:t>
      </w:r>
      <w:r w:rsidRPr="00A3576E">
        <w:rPr>
          <w:rFonts w:cs="Times New Roman" w:hint="eastAsia"/>
          <w:color w:val="000000"/>
          <w:sz w:val="21"/>
          <w:szCs w:val="21"/>
        </w:rPr>
        <w:t>、金融工具</w:t>
      </w:r>
      <w:r w:rsidRPr="00A3576E">
        <w:rPr>
          <w:rFonts w:cs="Times New Roman"/>
          <w:color w:val="000000"/>
          <w:sz w:val="21"/>
          <w:szCs w:val="21"/>
        </w:rPr>
        <w:t>”</w:t>
      </w:r>
      <w:r w:rsidRPr="00A3576E">
        <w:rPr>
          <w:rFonts w:cs="Times New Roman" w:hint="eastAsia"/>
          <w:color w:val="000000"/>
          <w:sz w:val="21"/>
          <w:szCs w:val="21"/>
        </w:rPr>
        <w:t>。未纳入租赁投资净额计量的可变租赁付款额在实际发生时计入当期损益。</w:t>
      </w:r>
    </w:p>
    <w:p w:rsidR="00A2119D" w:rsidRPr="00A3576E" w:rsidRDefault="00A2119D" w:rsidP="00A3576E">
      <w:pPr>
        <w:pStyle w:val="a3"/>
        <w:spacing w:before="0" w:beforeAutospacing="0" w:after="0" w:afterAutospacing="0" w:line="360" w:lineRule="auto"/>
        <w:ind w:firstLine="420"/>
        <w:jc w:val="both"/>
        <w:divId w:val="1303542420"/>
        <w:rPr>
          <w:rFonts w:cs="Times New Roman"/>
          <w:color w:val="000000"/>
          <w:sz w:val="21"/>
          <w:szCs w:val="21"/>
        </w:rPr>
      </w:pPr>
      <w:r w:rsidRPr="00A3576E">
        <w:rPr>
          <w:rFonts w:cs="Times New Roman" w:hint="eastAsia"/>
          <w:color w:val="000000"/>
          <w:sz w:val="21"/>
          <w:szCs w:val="21"/>
        </w:rPr>
        <w:t>③租赁变更</w:t>
      </w:r>
    </w:p>
    <w:p w:rsidR="00A2119D" w:rsidRPr="00A3576E" w:rsidRDefault="00A2119D" w:rsidP="00A3576E">
      <w:pPr>
        <w:pStyle w:val="a3"/>
        <w:spacing w:before="0" w:beforeAutospacing="0" w:after="0" w:afterAutospacing="0" w:line="360" w:lineRule="auto"/>
        <w:ind w:firstLine="420"/>
        <w:jc w:val="both"/>
        <w:divId w:val="1303542420"/>
        <w:rPr>
          <w:rFonts w:cs="Times New Roman"/>
          <w:color w:val="000000"/>
          <w:sz w:val="21"/>
          <w:szCs w:val="21"/>
        </w:rPr>
      </w:pPr>
      <w:r>
        <w:rPr>
          <w:rFonts w:cs="Times New Roman" w:hint="eastAsia"/>
          <w:color w:val="000000"/>
          <w:sz w:val="21"/>
          <w:szCs w:val="21"/>
        </w:rPr>
        <w:t>属于经营租赁发生变更的，公司自变更生效日起将其作为一项新租赁进行会计处理，与变更前租赁有关的预收或应收</w:t>
      </w:r>
      <w:proofErr w:type="gramStart"/>
      <w:r>
        <w:rPr>
          <w:rFonts w:cs="Times New Roman" w:hint="eastAsia"/>
          <w:color w:val="000000"/>
          <w:sz w:val="21"/>
          <w:szCs w:val="21"/>
        </w:rPr>
        <w:t>租赁收</w:t>
      </w:r>
      <w:proofErr w:type="gramEnd"/>
      <w:r>
        <w:rPr>
          <w:rFonts w:cs="Times New Roman" w:hint="eastAsia"/>
          <w:color w:val="000000"/>
          <w:sz w:val="21"/>
          <w:szCs w:val="21"/>
        </w:rPr>
        <w:t>款额应当视为新租赁的收款额。</w:t>
      </w:r>
    </w:p>
    <w:p w:rsidR="00A2119D" w:rsidRPr="00A3576E" w:rsidRDefault="00A2119D" w:rsidP="00A3576E">
      <w:pPr>
        <w:pStyle w:val="a3"/>
        <w:spacing w:before="0" w:beforeAutospacing="0" w:after="0" w:afterAutospacing="0" w:line="360" w:lineRule="auto"/>
        <w:ind w:firstLine="420"/>
        <w:jc w:val="both"/>
        <w:divId w:val="1303542420"/>
        <w:rPr>
          <w:rFonts w:cs="Times New Roman"/>
          <w:color w:val="000000"/>
          <w:sz w:val="21"/>
          <w:szCs w:val="21"/>
        </w:rPr>
      </w:pPr>
      <w:r>
        <w:rPr>
          <w:rFonts w:cs="Times New Roman" w:hint="eastAsia"/>
          <w:color w:val="000000"/>
          <w:sz w:val="21"/>
          <w:szCs w:val="21"/>
        </w:rPr>
        <w:t>属于融资租赁发生变更且同时符合下列条件的，公司将该租赁变更作为一项单独租赁进行会计处理：</w:t>
      </w:r>
      <w:r w:rsidRPr="00A3576E">
        <w:rPr>
          <w:rFonts w:cs="Times New Roman"/>
          <w:color w:val="000000"/>
          <w:sz w:val="21"/>
          <w:szCs w:val="21"/>
        </w:rPr>
        <w:t>A.</w:t>
      </w:r>
      <w:r>
        <w:rPr>
          <w:rFonts w:cs="Times New Roman" w:hint="eastAsia"/>
          <w:color w:val="000000"/>
          <w:sz w:val="21"/>
          <w:szCs w:val="21"/>
        </w:rPr>
        <w:t>该租赁变更通过增加一项或多项租赁资产的使用权而扩大了租赁范围；</w:t>
      </w:r>
      <w:r w:rsidRPr="00A3576E">
        <w:rPr>
          <w:rFonts w:cs="Times New Roman"/>
          <w:color w:val="000000"/>
          <w:sz w:val="21"/>
          <w:szCs w:val="21"/>
        </w:rPr>
        <w:t>B.</w:t>
      </w:r>
      <w:r>
        <w:rPr>
          <w:rFonts w:cs="Times New Roman" w:hint="eastAsia"/>
          <w:color w:val="000000"/>
          <w:sz w:val="21"/>
          <w:szCs w:val="21"/>
        </w:rPr>
        <w:t>增加的对价与租赁范围扩大部分的单独价格按该合同情况调整后的金额相当。</w:t>
      </w:r>
    </w:p>
    <w:p w:rsidR="00A2119D" w:rsidRPr="00A3576E" w:rsidRDefault="00A2119D" w:rsidP="00A3576E">
      <w:pPr>
        <w:pStyle w:val="a3"/>
        <w:spacing w:before="0" w:beforeAutospacing="0" w:after="0" w:afterAutospacing="0" w:line="360" w:lineRule="auto"/>
        <w:ind w:firstLine="420"/>
        <w:jc w:val="both"/>
        <w:divId w:val="1303542420"/>
        <w:rPr>
          <w:rFonts w:cs="Times New Roman"/>
          <w:color w:val="000000"/>
          <w:sz w:val="21"/>
          <w:szCs w:val="21"/>
        </w:rPr>
      </w:pPr>
      <w:r>
        <w:rPr>
          <w:rFonts w:cs="Times New Roman" w:hint="eastAsia"/>
          <w:color w:val="000000"/>
          <w:sz w:val="21"/>
          <w:szCs w:val="21"/>
        </w:rPr>
        <w:t>属于融资租赁的变更未作为一项单独租赁进行会计处理，若变更在租赁开始日生效，该租赁会被分类为经营租赁的，公司自租赁变更生效日开始将其作为一项新租赁进行会计处理，并以租赁变更生效日前的租赁投资净额作为租赁资产的账面价值；若变更在租赁开始日生效，该租赁会被分类为融资租赁的，公司按照《企业会计准则第</w:t>
      </w:r>
      <w:r w:rsidRPr="00A3576E">
        <w:rPr>
          <w:rFonts w:cs="Times New Roman"/>
          <w:color w:val="000000"/>
          <w:sz w:val="21"/>
          <w:szCs w:val="21"/>
        </w:rPr>
        <w:t>22</w:t>
      </w:r>
      <w:r>
        <w:rPr>
          <w:rFonts w:cs="Times New Roman" w:hint="eastAsia"/>
          <w:color w:val="000000"/>
          <w:sz w:val="21"/>
          <w:szCs w:val="21"/>
        </w:rPr>
        <w:t>号——金融工具确认和计量》关于修改或重新议定合同的规定进行会计处理。</w:t>
      </w:r>
    </w:p>
    <w:p w:rsidR="00A2119D" w:rsidRPr="00A3576E" w:rsidRDefault="00A2119D" w:rsidP="00A3576E">
      <w:pPr>
        <w:pStyle w:val="a3"/>
        <w:spacing w:before="0" w:beforeAutospacing="0" w:after="0" w:afterAutospacing="0" w:line="360" w:lineRule="auto"/>
        <w:ind w:firstLine="420"/>
        <w:jc w:val="both"/>
        <w:divId w:val="1303542420"/>
        <w:rPr>
          <w:rFonts w:cs="Times New Roman"/>
          <w:color w:val="000000"/>
          <w:sz w:val="21"/>
          <w:szCs w:val="21"/>
        </w:rPr>
      </w:pPr>
      <w:r>
        <w:rPr>
          <w:rFonts w:cs="Times New Roman" w:hint="eastAsia"/>
          <w:color w:val="000000"/>
          <w:sz w:val="21"/>
          <w:szCs w:val="21"/>
        </w:rPr>
        <w:t>④售后租回交易：</w:t>
      </w:r>
    </w:p>
    <w:p w:rsidR="00A2119D" w:rsidRPr="00A3576E" w:rsidRDefault="00A2119D" w:rsidP="00A3576E">
      <w:pPr>
        <w:pStyle w:val="a3"/>
        <w:spacing w:before="0" w:beforeAutospacing="0" w:after="0" w:afterAutospacing="0" w:line="360" w:lineRule="auto"/>
        <w:ind w:firstLine="420"/>
        <w:jc w:val="both"/>
        <w:divId w:val="1303542420"/>
        <w:rPr>
          <w:rFonts w:cs="Times New Roman"/>
          <w:color w:val="000000"/>
          <w:sz w:val="21"/>
          <w:szCs w:val="21"/>
        </w:rPr>
      </w:pPr>
      <w:r>
        <w:rPr>
          <w:rFonts w:cs="Times New Roman" w:hint="eastAsia"/>
          <w:color w:val="000000"/>
          <w:sz w:val="21"/>
          <w:szCs w:val="21"/>
        </w:rPr>
        <w:t>售后租回交易中的资产转让属于销售的，公司按照资产购买进行相应会计处理，并根据租赁准则对资产出租进行会计处理。如果销售对价的公允价值与资产的公允价值不同，或者公司未按市场价格收取租金，公司将销售对价低于市场价格的款项作为预收租金进行会计处理，将高于市场价格的款项作为公司向承租人提供的额外融资进行会计处理；同时按市场价格调整租金收入。售后租回交易中的资产转让不属于销售的，公司确认一项与转让收入等额的金融资产。</w:t>
      </w:r>
    </w:p>
    <w:p w:rsidR="00A27D66" w:rsidRDefault="00A2119D">
      <w:pPr>
        <w:pStyle w:val="3"/>
        <w:spacing w:line="280" w:lineRule="exact"/>
        <w:jc w:val="left"/>
        <w:rPr>
          <w:rFonts w:ascii="宋体" w:hAnsi="宋体" w:cs="宋体"/>
          <w:b/>
          <w:bCs/>
        </w:rPr>
      </w:pPr>
      <w:bookmarkStart w:id="219" w:name="_Toc989103"/>
      <w:r>
        <w:rPr>
          <w:rFonts w:ascii="宋体" w:hAnsi="宋体" w:cs="宋体"/>
          <w:b/>
          <w:bCs/>
        </w:rPr>
        <w:t>42、其他重要的会计政策和会计估计</w:t>
      </w:r>
      <w:bookmarkEnd w:id="219"/>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1</w:t>
      </w:r>
      <w:r>
        <w:rPr>
          <w:rFonts w:cs="Times New Roman" w:hint="eastAsia"/>
          <w:color w:val="000000"/>
          <w:sz w:val="21"/>
          <w:szCs w:val="21"/>
        </w:rPr>
        <w:t>）回购本公司股份</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公司回购自身权益工具支付的对价和交易费用，应当减少所有者权益。</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公司按法定程序报经批准采用收购本公司股票方式减资，按注销股票面值总额减少股本，购回股票支付的价款（</w:t>
      </w:r>
      <w:proofErr w:type="gramStart"/>
      <w:r>
        <w:rPr>
          <w:rFonts w:cs="Times New Roman" w:hint="eastAsia"/>
          <w:color w:val="000000"/>
          <w:sz w:val="21"/>
          <w:szCs w:val="21"/>
        </w:rPr>
        <w:t>含交易</w:t>
      </w:r>
      <w:proofErr w:type="gramEnd"/>
      <w:r>
        <w:rPr>
          <w:rFonts w:cs="Times New Roman" w:hint="eastAsia"/>
          <w:color w:val="000000"/>
          <w:sz w:val="21"/>
          <w:szCs w:val="21"/>
        </w:rPr>
        <w:t>费用）与股票面值的差额调整所有者权益，超过面值总额的部分，依次冲减资本公积（股本溢价）、盈余公积和未分配利润；如低于面值总额的，低于面值总额的部分增加资本公积（股本溢价）。公司回购自身权益工具，不确认利得或损失。</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lastRenderedPageBreak/>
        <w:t>公司回购的股份在注销或者转让之前，作为库存股管理，回购股份的全部支出转作库存股成本，同时进行备查登记。</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库存股转让时，转让收入高于库存股成本的部分，增加资本公积</w:t>
      </w:r>
      <w:r w:rsidRPr="00A3576E">
        <w:rPr>
          <w:rFonts w:cs="Times New Roman"/>
          <w:color w:val="000000"/>
          <w:sz w:val="21"/>
          <w:szCs w:val="21"/>
        </w:rPr>
        <w:t>(</w:t>
      </w:r>
      <w:r>
        <w:rPr>
          <w:rFonts w:cs="Times New Roman" w:hint="eastAsia"/>
          <w:color w:val="000000"/>
          <w:sz w:val="21"/>
          <w:szCs w:val="21"/>
        </w:rPr>
        <w:t>股本溢价</w:t>
      </w:r>
      <w:r w:rsidRPr="00A3576E">
        <w:rPr>
          <w:rFonts w:cs="Times New Roman"/>
          <w:color w:val="000000"/>
          <w:sz w:val="21"/>
          <w:szCs w:val="21"/>
        </w:rPr>
        <w:t>)</w:t>
      </w:r>
      <w:r>
        <w:rPr>
          <w:rFonts w:cs="Times New Roman" w:hint="eastAsia"/>
          <w:color w:val="000000"/>
          <w:sz w:val="21"/>
          <w:szCs w:val="21"/>
        </w:rPr>
        <w:t>；低于库存股成本的部分，依次冲减资本公积</w:t>
      </w:r>
      <w:r w:rsidRPr="00A3576E">
        <w:rPr>
          <w:rFonts w:cs="Times New Roman"/>
          <w:color w:val="000000"/>
          <w:sz w:val="21"/>
          <w:szCs w:val="21"/>
        </w:rPr>
        <w:t>(</w:t>
      </w:r>
      <w:r>
        <w:rPr>
          <w:rFonts w:cs="Times New Roman" w:hint="eastAsia"/>
          <w:color w:val="000000"/>
          <w:sz w:val="21"/>
          <w:szCs w:val="21"/>
        </w:rPr>
        <w:t>股本溢价</w:t>
      </w:r>
      <w:r w:rsidRPr="00A3576E">
        <w:rPr>
          <w:rFonts w:cs="Times New Roman"/>
          <w:color w:val="000000"/>
          <w:sz w:val="21"/>
          <w:szCs w:val="21"/>
        </w:rPr>
        <w:t>)</w:t>
      </w:r>
      <w:r>
        <w:rPr>
          <w:rFonts w:cs="Times New Roman" w:hint="eastAsia"/>
          <w:color w:val="000000"/>
          <w:sz w:val="21"/>
          <w:szCs w:val="21"/>
        </w:rPr>
        <w:t>、盈余公积、未分配利润。</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公司回购其普通股形成的库存股不参与公司利润分配，公司将其作为在资产负债表中所有者权益的</w:t>
      </w:r>
      <w:proofErr w:type="gramStart"/>
      <w:r>
        <w:rPr>
          <w:rFonts w:cs="Times New Roman" w:hint="eastAsia"/>
          <w:color w:val="000000"/>
          <w:sz w:val="21"/>
          <w:szCs w:val="21"/>
        </w:rPr>
        <w:t>备抵项目</w:t>
      </w:r>
      <w:proofErr w:type="gramEnd"/>
      <w:r>
        <w:rPr>
          <w:rFonts w:cs="Times New Roman" w:hint="eastAsia"/>
          <w:color w:val="000000"/>
          <w:sz w:val="21"/>
          <w:szCs w:val="21"/>
        </w:rPr>
        <w:t>列示。</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2</w:t>
      </w:r>
      <w:r>
        <w:rPr>
          <w:rFonts w:cs="Times New Roman" w:hint="eastAsia"/>
          <w:color w:val="000000"/>
          <w:sz w:val="21"/>
          <w:szCs w:val="21"/>
        </w:rPr>
        <w:t>）套期会计</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hint="eastAsia"/>
          <w:color w:val="000000"/>
          <w:sz w:val="21"/>
          <w:szCs w:val="21"/>
        </w:rPr>
        <w:t>①</w:t>
      </w:r>
      <w:r>
        <w:rPr>
          <w:rFonts w:cs="Times New Roman" w:hint="eastAsia"/>
          <w:color w:val="000000"/>
          <w:sz w:val="21"/>
          <w:szCs w:val="21"/>
        </w:rPr>
        <w:t>套期会计的分类</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本公司将套</w:t>
      </w:r>
      <w:proofErr w:type="gramStart"/>
      <w:r>
        <w:rPr>
          <w:rFonts w:cs="Times New Roman" w:hint="eastAsia"/>
          <w:color w:val="000000"/>
          <w:sz w:val="21"/>
          <w:szCs w:val="21"/>
        </w:rPr>
        <w:t>期分为</w:t>
      </w:r>
      <w:proofErr w:type="gramEnd"/>
      <w:r>
        <w:rPr>
          <w:rFonts w:cs="Times New Roman" w:hint="eastAsia"/>
          <w:color w:val="000000"/>
          <w:sz w:val="21"/>
          <w:szCs w:val="21"/>
        </w:rPr>
        <w:t>公允价值套期、现金流量套期和境外经营净投资套期。</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A.</w:t>
      </w:r>
      <w:r>
        <w:rPr>
          <w:rFonts w:cs="Times New Roman" w:hint="eastAsia"/>
          <w:color w:val="000000"/>
          <w:sz w:val="21"/>
          <w:szCs w:val="21"/>
        </w:rPr>
        <w:t>公允价值套期，是指对已确认资产或负债，尚未确认的确定承诺</w:t>
      </w:r>
      <w:r w:rsidRPr="00A3576E">
        <w:rPr>
          <w:rFonts w:cs="Times New Roman"/>
          <w:color w:val="000000"/>
          <w:sz w:val="21"/>
          <w:szCs w:val="21"/>
        </w:rPr>
        <w:t>(</w:t>
      </w:r>
      <w:r>
        <w:rPr>
          <w:rFonts w:cs="Times New Roman" w:hint="eastAsia"/>
          <w:color w:val="000000"/>
          <w:sz w:val="21"/>
          <w:szCs w:val="21"/>
        </w:rPr>
        <w:t>除外汇风险外</w:t>
      </w:r>
      <w:r w:rsidRPr="00A3576E">
        <w:rPr>
          <w:rFonts w:cs="Times New Roman"/>
          <w:color w:val="000000"/>
          <w:sz w:val="21"/>
          <w:szCs w:val="21"/>
        </w:rPr>
        <w:t>)</w:t>
      </w:r>
      <w:r>
        <w:rPr>
          <w:rFonts w:cs="Times New Roman" w:hint="eastAsia"/>
          <w:color w:val="000000"/>
          <w:sz w:val="21"/>
          <w:szCs w:val="21"/>
        </w:rPr>
        <w:t>的公</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proofErr w:type="gramStart"/>
      <w:r>
        <w:rPr>
          <w:rFonts w:cs="Times New Roman" w:hint="eastAsia"/>
          <w:color w:val="000000"/>
          <w:sz w:val="21"/>
          <w:szCs w:val="21"/>
        </w:rPr>
        <w:t>允</w:t>
      </w:r>
      <w:proofErr w:type="gramEnd"/>
      <w:r>
        <w:rPr>
          <w:rFonts w:cs="Times New Roman" w:hint="eastAsia"/>
          <w:color w:val="000000"/>
          <w:sz w:val="21"/>
          <w:szCs w:val="21"/>
        </w:rPr>
        <w:t>价值变动风险进行的套期。</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B.</w:t>
      </w:r>
      <w:r>
        <w:rPr>
          <w:rFonts w:cs="Times New Roman" w:hint="eastAsia"/>
          <w:color w:val="000000"/>
          <w:sz w:val="21"/>
          <w:szCs w:val="21"/>
        </w:rPr>
        <w:t>现金流量套期，是指对现金流量变动风险进行的套期，此现金流量变动源于与已确认资产或负债、很可能发生的预期交易有关的某类特定风险，且将影响企业的损益。</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C.</w:t>
      </w:r>
      <w:r>
        <w:rPr>
          <w:rFonts w:cs="Times New Roman" w:hint="eastAsia"/>
          <w:color w:val="000000"/>
          <w:sz w:val="21"/>
          <w:szCs w:val="21"/>
        </w:rPr>
        <w:t>境外经营净投资套期，是指对境外经营净投资外汇风险进行的套期。境外经营净投资，是指企业在境外经营净资产中的权益份额。</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②套期会计方法及套期工具</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套期会计方法是指公司将套</w:t>
      </w:r>
      <w:proofErr w:type="gramStart"/>
      <w:r>
        <w:rPr>
          <w:rFonts w:cs="Times New Roman" w:hint="eastAsia"/>
          <w:color w:val="000000"/>
          <w:sz w:val="21"/>
          <w:szCs w:val="21"/>
        </w:rPr>
        <w:t>期工具</w:t>
      </w:r>
      <w:proofErr w:type="gramEnd"/>
      <w:r>
        <w:rPr>
          <w:rFonts w:cs="Times New Roman" w:hint="eastAsia"/>
          <w:color w:val="000000"/>
          <w:sz w:val="21"/>
          <w:szCs w:val="21"/>
        </w:rPr>
        <w:t>和被套</w:t>
      </w:r>
      <w:proofErr w:type="gramStart"/>
      <w:r>
        <w:rPr>
          <w:rFonts w:cs="Times New Roman" w:hint="eastAsia"/>
          <w:color w:val="000000"/>
          <w:sz w:val="21"/>
          <w:szCs w:val="21"/>
        </w:rPr>
        <w:t>期项目</w:t>
      </w:r>
      <w:proofErr w:type="gramEnd"/>
      <w:r>
        <w:rPr>
          <w:rFonts w:cs="Times New Roman" w:hint="eastAsia"/>
          <w:color w:val="000000"/>
          <w:sz w:val="21"/>
          <w:szCs w:val="21"/>
        </w:rPr>
        <w:t>产生的利得或损失在相同会计期间计入当期损益（或其他综合收益）以反映风险管理活动影响的方法。</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套</w:t>
      </w:r>
      <w:proofErr w:type="gramStart"/>
      <w:r>
        <w:rPr>
          <w:rFonts w:cs="Times New Roman" w:hint="eastAsia"/>
          <w:color w:val="000000"/>
          <w:sz w:val="21"/>
          <w:szCs w:val="21"/>
        </w:rPr>
        <w:t>期工具</w:t>
      </w:r>
      <w:proofErr w:type="gramEnd"/>
      <w:r>
        <w:rPr>
          <w:rFonts w:cs="Times New Roman" w:hint="eastAsia"/>
          <w:color w:val="000000"/>
          <w:sz w:val="21"/>
          <w:szCs w:val="21"/>
        </w:rPr>
        <w:t>是指公司为进行套期而指定的、其公允价值或现金流量变动预期可抵消被套</w:t>
      </w:r>
      <w:proofErr w:type="gramStart"/>
      <w:r>
        <w:rPr>
          <w:rFonts w:cs="Times New Roman" w:hint="eastAsia"/>
          <w:color w:val="000000"/>
          <w:sz w:val="21"/>
          <w:szCs w:val="21"/>
        </w:rPr>
        <w:t>期项目</w:t>
      </w:r>
      <w:proofErr w:type="gramEnd"/>
      <w:r>
        <w:rPr>
          <w:rFonts w:cs="Times New Roman" w:hint="eastAsia"/>
          <w:color w:val="000000"/>
          <w:sz w:val="21"/>
          <w:szCs w:val="21"/>
        </w:rPr>
        <w:t>的公允价值或现金流量变动的金融工具。被套</w:t>
      </w:r>
      <w:proofErr w:type="gramStart"/>
      <w:r>
        <w:rPr>
          <w:rFonts w:cs="Times New Roman" w:hint="eastAsia"/>
          <w:color w:val="000000"/>
          <w:sz w:val="21"/>
          <w:szCs w:val="21"/>
        </w:rPr>
        <w:t>期项目</w:t>
      </w:r>
      <w:proofErr w:type="gramEnd"/>
      <w:r>
        <w:rPr>
          <w:rFonts w:cs="Times New Roman" w:hint="eastAsia"/>
          <w:color w:val="000000"/>
          <w:sz w:val="21"/>
          <w:szCs w:val="21"/>
        </w:rPr>
        <w:t>是指公司面临公允价值或现金流量变动风险，且被指定为被套</w:t>
      </w:r>
      <w:proofErr w:type="gramStart"/>
      <w:r>
        <w:rPr>
          <w:rFonts w:cs="Times New Roman" w:hint="eastAsia"/>
          <w:color w:val="000000"/>
          <w:sz w:val="21"/>
          <w:szCs w:val="21"/>
        </w:rPr>
        <w:t>期对象</w:t>
      </w:r>
      <w:proofErr w:type="gramEnd"/>
      <w:r>
        <w:rPr>
          <w:rFonts w:cs="Times New Roman" w:hint="eastAsia"/>
          <w:color w:val="000000"/>
          <w:sz w:val="21"/>
          <w:szCs w:val="21"/>
        </w:rPr>
        <w:t>的、能够可靠计量的项目。对于满足下列条件的套期工具，运用套期会计方法进行处理：</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A.</w:t>
      </w:r>
      <w:r>
        <w:rPr>
          <w:rFonts w:cs="Times New Roman" w:hint="eastAsia"/>
          <w:color w:val="000000"/>
          <w:sz w:val="21"/>
          <w:szCs w:val="21"/>
        </w:rPr>
        <w:t>套</w:t>
      </w:r>
      <w:proofErr w:type="gramStart"/>
      <w:r>
        <w:rPr>
          <w:rFonts w:cs="Times New Roman" w:hint="eastAsia"/>
          <w:color w:val="000000"/>
          <w:sz w:val="21"/>
          <w:szCs w:val="21"/>
        </w:rPr>
        <w:t>期关系</w:t>
      </w:r>
      <w:proofErr w:type="gramEnd"/>
      <w:r>
        <w:rPr>
          <w:rFonts w:cs="Times New Roman" w:hint="eastAsia"/>
          <w:color w:val="000000"/>
          <w:sz w:val="21"/>
          <w:szCs w:val="21"/>
        </w:rPr>
        <w:t>仅由符合条件的套</w:t>
      </w:r>
      <w:proofErr w:type="gramStart"/>
      <w:r>
        <w:rPr>
          <w:rFonts w:cs="Times New Roman" w:hint="eastAsia"/>
          <w:color w:val="000000"/>
          <w:sz w:val="21"/>
          <w:szCs w:val="21"/>
        </w:rPr>
        <w:t>期工具</w:t>
      </w:r>
      <w:proofErr w:type="gramEnd"/>
      <w:r>
        <w:rPr>
          <w:rFonts w:cs="Times New Roman" w:hint="eastAsia"/>
          <w:color w:val="000000"/>
          <w:sz w:val="21"/>
          <w:szCs w:val="21"/>
        </w:rPr>
        <w:t>和被套</w:t>
      </w:r>
      <w:proofErr w:type="gramStart"/>
      <w:r>
        <w:rPr>
          <w:rFonts w:cs="Times New Roman" w:hint="eastAsia"/>
          <w:color w:val="000000"/>
          <w:sz w:val="21"/>
          <w:szCs w:val="21"/>
        </w:rPr>
        <w:t>期项目</w:t>
      </w:r>
      <w:proofErr w:type="gramEnd"/>
      <w:r>
        <w:rPr>
          <w:rFonts w:cs="Times New Roman" w:hint="eastAsia"/>
          <w:color w:val="000000"/>
          <w:sz w:val="21"/>
          <w:szCs w:val="21"/>
        </w:rPr>
        <w:t>组成；</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 xml:space="preserve">B.  </w:t>
      </w:r>
      <w:r>
        <w:rPr>
          <w:rFonts w:cs="Times New Roman" w:hint="eastAsia"/>
          <w:color w:val="000000"/>
          <w:sz w:val="21"/>
          <w:szCs w:val="21"/>
        </w:rPr>
        <w:t>在套期开始时，公司正式指定了套</w:t>
      </w:r>
      <w:proofErr w:type="gramStart"/>
      <w:r>
        <w:rPr>
          <w:rFonts w:cs="Times New Roman" w:hint="eastAsia"/>
          <w:color w:val="000000"/>
          <w:sz w:val="21"/>
          <w:szCs w:val="21"/>
        </w:rPr>
        <w:t>期工具</w:t>
      </w:r>
      <w:proofErr w:type="gramEnd"/>
      <w:r>
        <w:rPr>
          <w:rFonts w:cs="Times New Roman" w:hint="eastAsia"/>
          <w:color w:val="000000"/>
          <w:sz w:val="21"/>
          <w:szCs w:val="21"/>
        </w:rPr>
        <w:t>和被套期项目，并准备了关于套</w:t>
      </w:r>
      <w:proofErr w:type="gramStart"/>
      <w:r>
        <w:rPr>
          <w:rFonts w:cs="Times New Roman" w:hint="eastAsia"/>
          <w:color w:val="000000"/>
          <w:sz w:val="21"/>
          <w:szCs w:val="21"/>
        </w:rPr>
        <w:t>期关系</w:t>
      </w:r>
      <w:proofErr w:type="gramEnd"/>
      <w:r>
        <w:rPr>
          <w:rFonts w:cs="Times New Roman" w:hint="eastAsia"/>
          <w:color w:val="000000"/>
          <w:sz w:val="21"/>
          <w:szCs w:val="21"/>
        </w:rPr>
        <w:t>和公司从事套期的风险管理策略和风险管理目标的书面文件。该文件至少载明了套期工具、被套期项目、被套期风险的性质以及套期有效性评估方法（包括套期无效部分产生的原因分析以及套期比率确定方法）等内容；</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 xml:space="preserve">C.  </w:t>
      </w:r>
      <w:r>
        <w:rPr>
          <w:rFonts w:cs="Times New Roman" w:hint="eastAsia"/>
          <w:color w:val="000000"/>
          <w:sz w:val="21"/>
          <w:szCs w:val="21"/>
        </w:rPr>
        <w:t>套</w:t>
      </w:r>
      <w:proofErr w:type="gramStart"/>
      <w:r>
        <w:rPr>
          <w:rFonts w:cs="Times New Roman" w:hint="eastAsia"/>
          <w:color w:val="000000"/>
          <w:sz w:val="21"/>
          <w:szCs w:val="21"/>
        </w:rPr>
        <w:t>期关系</w:t>
      </w:r>
      <w:proofErr w:type="gramEnd"/>
      <w:r>
        <w:rPr>
          <w:rFonts w:cs="Times New Roman" w:hint="eastAsia"/>
          <w:color w:val="000000"/>
          <w:sz w:val="21"/>
          <w:szCs w:val="21"/>
        </w:rPr>
        <w:t>符合套期有效性的要求。套</w:t>
      </w:r>
      <w:proofErr w:type="gramStart"/>
      <w:r>
        <w:rPr>
          <w:rFonts w:cs="Times New Roman" w:hint="eastAsia"/>
          <w:color w:val="000000"/>
          <w:sz w:val="21"/>
          <w:szCs w:val="21"/>
        </w:rPr>
        <w:t>期同时</w:t>
      </w:r>
      <w:proofErr w:type="gramEnd"/>
      <w:r>
        <w:rPr>
          <w:rFonts w:cs="Times New Roman" w:hint="eastAsia"/>
          <w:color w:val="000000"/>
          <w:sz w:val="21"/>
          <w:szCs w:val="21"/>
        </w:rPr>
        <w:t>满足下列条件的，应当认定套</w:t>
      </w:r>
      <w:proofErr w:type="gramStart"/>
      <w:r>
        <w:rPr>
          <w:rFonts w:cs="Times New Roman" w:hint="eastAsia"/>
          <w:color w:val="000000"/>
          <w:sz w:val="21"/>
          <w:szCs w:val="21"/>
        </w:rPr>
        <w:t>期关系</w:t>
      </w:r>
      <w:proofErr w:type="gramEnd"/>
      <w:r>
        <w:rPr>
          <w:rFonts w:cs="Times New Roman" w:hint="eastAsia"/>
          <w:color w:val="000000"/>
          <w:sz w:val="21"/>
          <w:szCs w:val="21"/>
        </w:rPr>
        <w:t>符合套期有效性要求：</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A</w:t>
      </w:r>
      <w:r>
        <w:rPr>
          <w:rFonts w:cs="Times New Roman" w:hint="eastAsia"/>
          <w:color w:val="000000"/>
          <w:sz w:val="21"/>
          <w:szCs w:val="21"/>
        </w:rPr>
        <w:t>）被套</w:t>
      </w:r>
      <w:proofErr w:type="gramStart"/>
      <w:r>
        <w:rPr>
          <w:rFonts w:cs="Times New Roman" w:hint="eastAsia"/>
          <w:color w:val="000000"/>
          <w:sz w:val="21"/>
          <w:szCs w:val="21"/>
        </w:rPr>
        <w:t>期项目</w:t>
      </w:r>
      <w:proofErr w:type="gramEnd"/>
      <w:r>
        <w:rPr>
          <w:rFonts w:cs="Times New Roman" w:hint="eastAsia"/>
          <w:color w:val="000000"/>
          <w:sz w:val="21"/>
          <w:szCs w:val="21"/>
        </w:rPr>
        <w:t>和套</w:t>
      </w:r>
      <w:proofErr w:type="gramStart"/>
      <w:r>
        <w:rPr>
          <w:rFonts w:cs="Times New Roman" w:hint="eastAsia"/>
          <w:color w:val="000000"/>
          <w:sz w:val="21"/>
          <w:szCs w:val="21"/>
        </w:rPr>
        <w:t>期工具</w:t>
      </w:r>
      <w:proofErr w:type="gramEnd"/>
      <w:r>
        <w:rPr>
          <w:rFonts w:cs="Times New Roman" w:hint="eastAsia"/>
          <w:color w:val="000000"/>
          <w:sz w:val="21"/>
          <w:szCs w:val="21"/>
        </w:rPr>
        <w:t>之间存在经济关系。该经济关系使得套</w:t>
      </w:r>
      <w:proofErr w:type="gramStart"/>
      <w:r>
        <w:rPr>
          <w:rFonts w:cs="Times New Roman" w:hint="eastAsia"/>
          <w:color w:val="000000"/>
          <w:sz w:val="21"/>
          <w:szCs w:val="21"/>
        </w:rPr>
        <w:t>期工具</w:t>
      </w:r>
      <w:proofErr w:type="gramEnd"/>
      <w:r>
        <w:rPr>
          <w:rFonts w:cs="Times New Roman" w:hint="eastAsia"/>
          <w:color w:val="000000"/>
          <w:sz w:val="21"/>
          <w:szCs w:val="21"/>
        </w:rPr>
        <w:t>和被套</w:t>
      </w:r>
      <w:proofErr w:type="gramStart"/>
      <w:r>
        <w:rPr>
          <w:rFonts w:cs="Times New Roman" w:hint="eastAsia"/>
          <w:color w:val="000000"/>
          <w:sz w:val="21"/>
          <w:szCs w:val="21"/>
        </w:rPr>
        <w:t>期项目</w:t>
      </w:r>
      <w:proofErr w:type="gramEnd"/>
      <w:r>
        <w:rPr>
          <w:rFonts w:cs="Times New Roman" w:hint="eastAsia"/>
          <w:color w:val="000000"/>
          <w:sz w:val="21"/>
          <w:szCs w:val="21"/>
        </w:rPr>
        <w:t>的价值因面临相同的被套期风险而发生方向相反的变动；</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lastRenderedPageBreak/>
        <w:t>（</w:t>
      </w:r>
      <w:r w:rsidRPr="00A3576E">
        <w:rPr>
          <w:rFonts w:cs="Times New Roman"/>
          <w:color w:val="000000"/>
          <w:sz w:val="21"/>
          <w:szCs w:val="21"/>
        </w:rPr>
        <w:t>B</w:t>
      </w:r>
      <w:r>
        <w:rPr>
          <w:rFonts w:cs="Times New Roman" w:hint="eastAsia"/>
          <w:color w:val="000000"/>
          <w:sz w:val="21"/>
          <w:szCs w:val="21"/>
        </w:rPr>
        <w:t>）被套</w:t>
      </w:r>
      <w:proofErr w:type="gramStart"/>
      <w:r>
        <w:rPr>
          <w:rFonts w:cs="Times New Roman" w:hint="eastAsia"/>
          <w:color w:val="000000"/>
          <w:sz w:val="21"/>
          <w:szCs w:val="21"/>
        </w:rPr>
        <w:t>期项目</w:t>
      </w:r>
      <w:proofErr w:type="gramEnd"/>
      <w:r>
        <w:rPr>
          <w:rFonts w:cs="Times New Roman" w:hint="eastAsia"/>
          <w:color w:val="000000"/>
          <w:sz w:val="21"/>
          <w:szCs w:val="21"/>
        </w:rPr>
        <w:t>和套</w:t>
      </w:r>
      <w:proofErr w:type="gramStart"/>
      <w:r>
        <w:rPr>
          <w:rFonts w:cs="Times New Roman" w:hint="eastAsia"/>
          <w:color w:val="000000"/>
          <w:sz w:val="21"/>
          <w:szCs w:val="21"/>
        </w:rPr>
        <w:t>期工具</w:t>
      </w:r>
      <w:proofErr w:type="gramEnd"/>
      <w:r>
        <w:rPr>
          <w:rFonts w:cs="Times New Roman" w:hint="eastAsia"/>
          <w:color w:val="000000"/>
          <w:sz w:val="21"/>
          <w:szCs w:val="21"/>
        </w:rPr>
        <w:t>经济关系产生的价值变动中，信用风险的影响不占主导地位；</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C</w:t>
      </w:r>
      <w:r>
        <w:rPr>
          <w:rFonts w:cs="Times New Roman" w:hint="eastAsia"/>
          <w:color w:val="000000"/>
          <w:sz w:val="21"/>
          <w:szCs w:val="21"/>
        </w:rPr>
        <w:t>）套</w:t>
      </w:r>
      <w:proofErr w:type="gramStart"/>
      <w:r>
        <w:rPr>
          <w:rFonts w:cs="Times New Roman" w:hint="eastAsia"/>
          <w:color w:val="000000"/>
          <w:sz w:val="21"/>
          <w:szCs w:val="21"/>
        </w:rPr>
        <w:t>期关系</w:t>
      </w:r>
      <w:proofErr w:type="gramEnd"/>
      <w:r>
        <w:rPr>
          <w:rFonts w:cs="Times New Roman" w:hint="eastAsia"/>
          <w:color w:val="000000"/>
          <w:sz w:val="21"/>
          <w:szCs w:val="21"/>
        </w:rPr>
        <w:t>的套期比率，应当等于企业实际套期的被套</w:t>
      </w:r>
      <w:proofErr w:type="gramStart"/>
      <w:r>
        <w:rPr>
          <w:rFonts w:cs="Times New Roman" w:hint="eastAsia"/>
          <w:color w:val="000000"/>
          <w:sz w:val="21"/>
          <w:szCs w:val="21"/>
        </w:rPr>
        <w:t>期项目</w:t>
      </w:r>
      <w:proofErr w:type="gramEnd"/>
      <w:r>
        <w:rPr>
          <w:rFonts w:cs="Times New Roman" w:hint="eastAsia"/>
          <w:color w:val="000000"/>
          <w:sz w:val="21"/>
          <w:szCs w:val="21"/>
        </w:rPr>
        <w:t>数量与对其进行套期的套</w:t>
      </w:r>
      <w:proofErr w:type="gramStart"/>
      <w:r>
        <w:rPr>
          <w:rFonts w:cs="Times New Roman" w:hint="eastAsia"/>
          <w:color w:val="000000"/>
          <w:sz w:val="21"/>
          <w:szCs w:val="21"/>
        </w:rPr>
        <w:t>期工具</w:t>
      </w:r>
      <w:proofErr w:type="gramEnd"/>
      <w:r>
        <w:rPr>
          <w:rFonts w:cs="Times New Roman" w:hint="eastAsia"/>
          <w:color w:val="000000"/>
          <w:sz w:val="21"/>
          <w:szCs w:val="21"/>
        </w:rPr>
        <w:t>实际数量之比。</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③套期会计确认和计量</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A.</w:t>
      </w:r>
      <w:r>
        <w:rPr>
          <w:rFonts w:cs="Times New Roman" w:hint="eastAsia"/>
          <w:color w:val="000000"/>
          <w:sz w:val="21"/>
          <w:szCs w:val="21"/>
        </w:rPr>
        <w:t>公允价值套</w:t>
      </w:r>
      <w:proofErr w:type="gramStart"/>
      <w:r>
        <w:rPr>
          <w:rFonts w:cs="Times New Roman" w:hint="eastAsia"/>
          <w:color w:val="000000"/>
          <w:sz w:val="21"/>
          <w:szCs w:val="21"/>
        </w:rPr>
        <w:t>期满足</w:t>
      </w:r>
      <w:proofErr w:type="gramEnd"/>
      <w:r>
        <w:rPr>
          <w:rFonts w:cs="Times New Roman" w:hint="eastAsia"/>
          <w:color w:val="000000"/>
          <w:sz w:val="21"/>
          <w:szCs w:val="21"/>
        </w:rPr>
        <w:t>上述条件的，应当按照下列规定处理：</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A</w:t>
      </w:r>
      <w:r>
        <w:rPr>
          <w:rFonts w:cs="Times New Roman" w:hint="eastAsia"/>
          <w:color w:val="000000"/>
          <w:sz w:val="21"/>
          <w:szCs w:val="21"/>
        </w:rPr>
        <w:t>）套</w:t>
      </w:r>
      <w:proofErr w:type="gramStart"/>
      <w:r>
        <w:rPr>
          <w:rFonts w:cs="Times New Roman" w:hint="eastAsia"/>
          <w:color w:val="000000"/>
          <w:sz w:val="21"/>
          <w:szCs w:val="21"/>
        </w:rPr>
        <w:t>期工具</w:t>
      </w:r>
      <w:proofErr w:type="gramEnd"/>
      <w:r>
        <w:rPr>
          <w:rFonts w:cs="Times New Roman" w:hint="eastAsia"/>
          <w:color w:val="000000"/>
          <w:sz w:val="21"/>
          <w:szCs w:val="21"/>
        </w:rPr>
        <w:t>产生的利得或损失应当计入当期损益；</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B</w:t>
      </w:r>
      <w:r>
        <w:rPr>
          <w:rFonts w:cs="Times New Roman" w:hint="eastAsia"/>
          <w:color w:val="000000"/>
          <w:sz w:val="21"/>
          <w:szCs w:val="21"/>
        </w:rPr>
        <w:t>）被套</w:t>
      </w:r>
      <w:proofErr w:type="gramStart"/>
      <w:r>
        <w:rPr>
          <w:rFonts w:cs="Times New Roman" w:hint="eastAsia"/>
          <w:color w:val="000000"/>
          <w:sz w:val="21"/>
          <w:szCs w:val="21"/>
        </w:rPr>
        <w:t>期项目</w:t>
      </w:r>
      <w:proofErr w:type="gramEnd"/>
      <w:r>
        <w:rPr>
          <w:rFonts w:cs="Times New Roman" w:hint="eastAsia"/>
          <w:color w:val="000000"/>
          <w:sz w:val="21"/>
          <w:szCs w:val="21"/>
        </w:rPr>
        <w:t>因被套期风险敞口形成的利得或损失应当计入当期损益，同时调整未以公允价值计量的已确认被套</w:t>
      </w:r>
      <w:proofErr w:type="gramStart"/>
      <w:r>
        <w:rPr>
          <w:rFonts w:cs="Times New Roman" w:hint="eastAsia"/>
          <w:color w:val="000000"/>
          <w:sz w:val="21"/>
          <w:szCs w:val="21"/>
        </w:rPr>
        <w:t>期项目</w:t>
      </w:r>
      <w:proofErr w:type="gramEnd"/>
      <w:r>
        <w:rPr>
          <w:rFonts w:cs="Times New Roman" w:hint="eastAsia"/>
          <w:color w:val="000000"/>
          <w:sz w:val="21"/>
          <w:szCs w:val="21"/>
        </w:rPr>
        <w:t>的账面价值。</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B.</w:t>
      </w:r>
      <w:r>
        <w:rPr>
          <w:rFonts w:cs="Times New Roman" w:hint="eastAsia"/>
          <w:color w:val="000000"/>
          <w:sz w:val="21"/>
          <w:szCs w:val="21"/>
        </w:rPr>
        <w:t>现金流量套</w:t>
      </w:r>
      <w:proofErr w:type="gramStart"/>
      <w:r>
        <w:rPr>
          <w:rFonts w:cs="Times New Roman" w:hint="eastAsia"/>
          <w:color w:val="000000"/>
          <w:sz w:val="21"/>
          <w:szCs w:val="21"/>
        </w:rPr>
        <w:t>期满足</w:t>
      </w:r>
      <w:proofErr w:type="gramEnd"/>
      <w:r>
        <w:rPr>
          <w:rFonts w:cs="Times New Roman" w:hint="eastAsia"/>
          <w:color w:val="000000"/>
          <w:sz w:val="21"/>
          <w:szCs w:val="21"/>
        </w:rPr>
        <w:t>上述条件的，应当按照下列规定处理：</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A</w:t>
      </w:r>
      <w:r>
        <w:rPr>
          <w:rFonts w:cs="Times New Roman" w:hint="eastAsia"/>
          <w:color w:val="000000"/>
          <w:sz w:val="21"/>
          <w:szCs w:val="21"/>
        </w:rPr>
        <w:t>）套</w:t>
      </w:r>
      <w:proofErr w:type="gramStart"/>
      <w:r>
        <w:rPr>
          <w:rFonts w:cs="Times New Roman" w:hint="eastAsia"/>
          <w:color w:val="000000"/>
          <w:sz w:val="21"/>
          <w:szCs w:val="21"/>
        </w:rPr>
        <w:t>期工具</w:t>
      </w:r>
      <w:proofErr w:type="gramEnd"/>
      <w:r>
        <w:rPr>
          <w:rFonts w:cs="Times New Roman" w:hint="eastAsia"/>
          <w:color w:val="000000"/>
          <w:sz w:val="21"/>
          <w:szCs w:val="21"/>
        </w:rPr>
        <w:t>产生的利得或损失中属于有效套期的部分，作为现金流量套期储备，应当计入其他综合收益。现金流量套期储备的金额，应当按照下列两项的绝对额中较低者确定：</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a.</w:t>
      </w:r>
      <w:r>
        <w:rPr>
          <w:rFonts w:cs="Times New Roman" w:hint="eastAsia"/>
          <w:color w:val="000000"/>
          <w:sz w:val="21"/>
          <w:szCs w:val="21"/>
        </w:rPr>
        <w:t>套</w:t>
      </w:r>
      <w:proofErr w:type="gramStart"/>
      <w:r>
        <w:rPr>
          <w:rFonts w:cs="Times New Roman" w:hint="eastAsia"/>
          <w:color w:val="000000"/>
          <w:sz w:val="21"/>
          <w:szCs w:val="21"/>
        </w:rPr>
        <w:t>期工具</w:t>
      </w:r>
      <w:proofErr w:type="gramEnd"/>
      <w:r>
        <w:rPr>
          <w:rFonts w:cs="Times New Roman" w:hint="eastAsia"/>
          <w:color w:val="000000"/>
          <w:sz w:val="21"/>
          <w:szCs w:val="21"/>
        </w:rPr>
        <w:t>自套期开始的累计利得或损失；</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b.</w:t>
      </w:r>
      <w:r>
        <w:rPr>
          <w:rFonts w:cs="Times New Roman" w:hint="eastAsia"/>
          <w:color w:val="000000"/>
          <w:sz w:val="21"/>
          <w:szCs w:val="21"/>
        </w:rPr>
        <w:t>被套</w:t>
      </w:r>
      <w:proofErr w:type="gramStart"/>
      <w:r>
        <w:rPr>
          <w:rFonts w:cs="Times New Roman" w:hint="eastAsia"/>
          <w:color w:val="000000"/>
          <w:sz w:val="21"/>
          <w:szCs w:val="21"/>
        </w:rPr>
        <w:t>期项目</w:t>
      </w:r>
      <w:proofErr w:type="gramEnd"/>
      <w:r>
        <w:rPr>
          <w:rFonts w:cs="Times New Roman" w:hint="eastAsia"/>
          <w:color w:val="000000"/>
          <w:sz w:val="21"/>
          <w:szCs w:val="21"/>
        </w:rPr>
        <w:t>自套期开始的预计未来现金流量现值的累计变动额。</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每期计入其他综合收益的现金流量套期储备的金额应当为当期现金流量套期储备的变动额。</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B</w:t>
      </w:r>
      <w:r>
        <w:rPr>
          <w:rFonts w:cs="Times New Roman" w:hint="eastAsia"/>
          <w:color w:val="000000"/>
          <w:sz w:val="21"/>
          <w:szCs w:val="21"/>
        </w:rPr>
        <w:t>）套</w:t>
      </w:r>
      <w:proofErr w:type="gramStart"/>
      <w:r>
        <w:rPr>
          <w:rFonts w:cs="Times New Roman" w:hint="eastAsia"/>
          <w:color w:val="000000"/>
          <w:sz w:val="21"/>
          <w:szCs w:val="21"/>
        </w:rPr>
        <w:t>期工具</w:t>
      </w:r>
      <w:proofErr w:type="gramEnd"/>
      <w:r>
        <w:rPr>
          <w:rFonts w:cs="Times New Roman" w:hint="eastAsia"/>
          <w:color w:val="000000"/>
          <w:sz w:val="21"/>
          <w:szCs w:val="21"/>
        </w:rPr>
        <w:t>产生的利得或损失中属于无效套期的部分（即扣除计入其他综合收益后的其他利得或损失），应当计入当期损益。公司应当按照下列规定对现金流量套期储备进行后续处理：</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a.</w:t>
      </w:r>
      <w:r>
        <w:rPr>
          <w:rFonts w:cs="Times New Roman" w:hint="eastAsia"/>
          <w:color w:val="000000"/>
          <w:sz w:val="21"/>
          <w:szCs w:val="21"/>
        </w:rPr>
        <w:t>被套</w:t>
      </w:r>
      <w:proofErr w:type="gramStart"/>
      <w:r>
        <w:rPr>
          <w:rFonts w:cs="Times New Roman" w:hint="eastAsia"/>
          <w:color w:val="000000"/>
          <w:sz w:val="21"/>
          <w:szCs w:val="21"/>
        </w:rPr>
        <w:t>期项目</w:t>
      </w:r>
      <w:proofErr w:type="gramEnd"/>
      <w:r>
        <w:rPr>
          <w:rFonts w:cs="Times New Roman" w:hint="eastAsia"/>
          <w:color w:val="000000"/>
          <w:sz w:val="21"/>
          <w:szCs w:val="21"/>
        </w:rPr>
        <w:t>为预期交易，且该预期交易使企业随后确认一项非金融资产或非金融负债，或者非金融资产或非金融负债的预期交易形成一项适用于公允价值套期会计的确定承诺时，公司应当将原在其他综合收益中确认的现金流量套期储备金额转出，计入该资产或负债的初始确认金额；</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b.</w:t>
      </w:r>
      <w:r>
        <w:rPr>
          <w:rFonts w:cs="Times New Roman" w:hint="eastAsia"/>
          <w:color w:val="000000"/>
          <w:sz w:val="21"/>
          <w:szCs w:val="21"/>
        </w:rPr>
        <w:t>对于不属于上述</w:t>
      </w:r>
      <w:r w:rsidRPr="00A3576E">
        <w:rPr>
          <w:rFonts w:cs="Times New Roman"/>
          <w:color w:val="000000"/>
          <w:sz w:val="21"/>
          <w:szCs w:val="21"/>
        </w:rPr>
        <w:t>a.</w:t>
      </w:r>
      <w:r>
        <w:rPr>
          <w:rFonts w:cs="Times New Roman" w:hint="eastAsia"/>
          <w:color w:val="000000"/>
          <w:sz w:val="21"/>
          <w:szCs w:val="21"/>
        </w:rPr>
        <w:t>涉及的现金流量套期，公司应当在被套期的预期现金流量影响损益的相同期间，将原在其他综合收益中确认的现金流量套期储备金额转出，计入当期损益；</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c.</w:t>
      </w:r>
      <w:r>
        <w:rPr>
          <w:rFonts w:cs="Times New Roman" w:hint="eastAsia"/>
          <w:color w:val="000000"/>
          <w:sz w:val="21"/>
          <w:szCs w:val="21"/>
        </w:rPr>
        <w:t>如果在其他综合收益中确认的现金流量套期储备金额是一项损失，且该损失全部或部分预计在未来会计期间不能弥补的，公司应当将预计不能弥补的部分从其他综合收益中转出，计入当期损益。</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color w:val="000000"/>
          <w:sz w:val="21"/>
          <w:szCs w:val="21"/>
        </w:rPr>
        <w:t>C.</w:t>
      </w:r>
      <w:r>
        <w:rPr>
          <w:rFonts w:cs="Times New Roman" w:hint="eastAsia"/>
          <w:color w:val="000000"/>
          <w:sz w:val="21"/>
          <w:szCs w:val="21"/>
        </w:rPr>
        <w:t>境外经营净投资套</w:t>
      </w:r>
      <w:proofErr w:type="gramStart"/>
      <w:r>
        <w:rPr>
          <w:rFonts w:cs="Times New Roman" w:hint="eastAsia"/>
          <w:color w:val="000000"/>
          <w:sz w:val="21"/>
          <w:szCs w:val="21"/>
        </w:rPr>
        <w:t>期满足</w:t>
      </w:r>
      <w:proofErr w:type="gramEnd"/>
      <w:r>
        <w:rPr>
          <w:rFonts w:cs="Times New Roman" w:hint="eastAsia"/>
          <w:color w:val="000000"/>
          <w:sz w:val="21"/>
          <w:szCs w:val="21"/>
        </w:rPr>
        <w:t>上述条件的，应当按照下列规定处理：</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A</w:t>
      </w:r>
      <w:r>
        <w:rPr>
          <w:rFonts w:cs="Times New Roman" w:hint="eastAsia"/>
          <w:color w:val="000000"/>
          <w:sz w:val="21"/>
          <w:szCs w:val="21"/>
        </w:rPr>
        <w:t>）套</w:t>
      </w:r>
      <w:proofErr w:type="gramStart"/>
      <w:r>
        <w:rPr>
          <w:rFonts w:cs="Times New Roman" w:hint="eastAsia"/>
          <w:color w:val="000000"/>
          <w:sz w:val="21"/>
          <w:szCs w:val="21"/>
        </w:rPr>
        <w:t>期工具</w:t>
      </w:r>
      <w:proofErr w:type="gramEnd"/>
      <w:r>
        <w:rPr>
          <w:rFonts w:cs="Times New Roman" w:hint="eastAsia"/>
          <w:color w:val="000000"/>
          <w:sz w:val="21"/>
          <w:szCs w:val="21"/>
        </w:rPr>
        <w:t>形成的利得或损失中属于套</w:t>
      </w:r>
      <w:proofErr w:type="gramStart"/>
      <w:r>
        <w:rPr>
          <w:rFonts w:cs="Times New Roman" w:hint="eastAsia"/>
          <w:color w:val="000000"/>
          <w:sz w:val="21"/>
          <w:szCs w:val="21"/>
        </w:rPr>
        <w:t>期有效</w:t>
      </w:r>
      <w:proofErr w:type="gramEnd"/>
      <w:r>
        <w:rPr>
          <w:rFonts w:cs="Times New Roman" w:hint="eastAsia"/>
          <w:color w:val="000000"/>
          <w:sz w:val="21"/>
          <w:szCs w:val="21"/>
        </w:rPr>
        <w:t>的部分，应当计入其他综合收益；</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全部或部分处置境外经营时，上述计入其他综合收益的套</w:t>
      </w:r>
      <w:proofErr w:type="gramStart"/>
      <w:r>
        <w:rPr>
          <w:rFonts w:cs="Times New Roman" w:hint="eastAsia"/>
          <w:color w:val="000000"/>
          <w:sz w:val="21"/>
          <w:szCs w:val="21"/>
        </w:rPr>
        <w:t>期工具利</w:t>
      </w:r>
      <w:proofErr w:type="gramEnd"/>
      <w:r>
        <w:rPr>
          <w:rFonts w:cs="Times New Roman" w:hint="eastAsia"/>
          <w:color w:val="000000"/>
          <w:sz w:val="21"/>
          <w:szCs w:val="21"/>
        </w:rPr>
        <w:t>得或损失应当相应转出，计入当期损益。</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B</w:t>
      </w:r>
      <w:r>
        <w:rPr>
          <w:rFonts w:cs="Times New Roman" w:hint="eastAsia"/>
          <w:color w:val="000000"/>
          <w:sz w:val="21"/>
          <w:szCs w:val="21"/>
        </w:rPr>
        <w:t>）套</w:t>
      </w:r>
      <w:proofErr w:type="gramStart"/>
      <w:r>
        <w:rPr>
          <w:rFonts w:cs="Times New Roman" w:hint="eastAsia"/>
          <w:color w:val="000000"/>
          <w:sz w:val="21"/>
          <w:szCs w:val="21"/>
        </w:rPr>
        <w:t>期工具</w:t>
      </w:r>
      <w:proofErr w:type="gramEnd"/>
      <w:r>
        <w:rPr>
          <w:rFonts w:cs="Times New Roman" w:hint="eastAsia"/>
          <w:color w:val="000000"/>
          <w:sz w:val="21"/>
          <w:szCs w:val="21"/>
        </w:rPr>
        <w:t>形成的利得或损失中属于套期无效的部分，应当计入当期损益。</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lastRenderedPageBreak/>
        <w:t>公司对套期关系</w:t>
      </w:r>
      <w:proofErr w:type="gramStart"/>
      <w:r>
        <w:rPr>
          <w:rFonts w:cs="Times New Roman" w:hint="eastAsia"/>
          <w:color w:val="000000"/>
          <w:sz w:val="21"/>
          <w:szCs w:val="21"/>
        </w:rPr>
        <w:t>作出</w:t>
      </w:r>
      <w:proofErr w:type="gramEnd"/>
      <w:r>
        <w:rPr>
          <w:rFonts w:cs="Times New Roman" w:hint="eastAsia"/>
          <w:color w:val="000000"/>
          <w:sz w:val="21"/>
          <w:szCs w:val="21"/>
        </w:rPr>
        <w:t>再平衡的，应当在调整套</w:t>
      </w:r>
      <w:proofErr w:type="gramStart"/>
      <w:r>
        <w:rPr>
          <w:rFonts w:cs="Times New Roman" w:hint="eastAsia"/>
          <w:color w:val="000000"/>
          <w:sz w:val="21"/>
          <w:szCs w:val="21"/>
        </w:rPr>
        <w:t>期关系</w:t>
      </w:r>
      <w:proofErr w:type="gramEnd"/>
      <w:r>
        <w:rPr>
          <w:rFonts w:cs="Times New Roman" w:hint="eastAsia"/>
          <w:color w:val="000000"/>
          <w:sz w:val="21"/>
          <w:szCs w:val="21"/>
        </w:rPr>
        <w:t>之前确定套</w:t>
      </w:r>
      <w:proofErr w:type="gramStart"/>
      <w:r>
        <w:rPr>
          <w:rFonts w:cs="Times New Roman" w:hint="eastAsia"/>
          <w:color w:val="000000"/>
          <w:sz w:val="21"/>
          <w:szCs w:val="21"/>
        </w:rPr>
        <w:t>期关系</w:t>
      </w:r>
      <w:proofErr w:type="gramEnd"/>
      <w:r>
        <w:rPr>
          <w:rFonts w:cs="Times New Roman" w:hint="eastAsia"/>
          <w:color w:val="000000"/>
          <w:sz w:val="21"/>
          <w:szCs w:val="21"/>
        </w:rPr>
        <w:t>的套期无效部分，并将相关利得或损失立即计入当期损益。同时，更新在套期剩余期限内预期将影响套</w:t>
      </w:r>
      <w:proofErr w:type="gramStart"/>
      <w:r>
        <w:rPr>
          <w:rFonts w:cs="Times New Roman" w:hint="eastAsia"/>
          <w:color w:val="000000"/>
          <w:sz w:val="21"/>
          <w:szCs w:val="21"/>
        </w:rPr>
        <w:t>期关系</w:t>
      </w:r>
      <w:proofErr w:type="gramEnd"/>
      <w:r>
        <w:rPr>
          <w:rFonts w:cs="Times New Roman" w:hint="eastAsia"/>
          <w:color w:val="000000"/>
          <w:sz w:val="21"/>
          <w:szCs w:val="21"/>
        </w:rPr>
        <w:t>的套期无效部分产生原因的分析，并相应更新套</w:t>
      </w:r>
      <w:proofErr w:type="gramStart"/>
      <w:r>
        <w:rPr>
          <w:rFonts w:cs="Times New Roman" w:hint="eastAsia"/>
          <w:color w:val="000000"/>
          <w:sz w:val="21"/>
          <w:szCs w:val="21"/>
        </w:rPr>
        <w:t>期关系</w:t>
      </w:r>
      <w:proofErr w:type="gramEnd"/>
      <w:r>
        <w:rPr>
          <w:rFonts w:cs="Times New Roman" w:hint="eastAsia"/>
          <w:color w:val="000000"/>
          <w:sz w:val="21"/>
          <w:szCs w:val="21"/>
        </w:rPr>
        <w:t>的书面文件。</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套</w:t>
      </w:r>
      <w:proofErr w:type="gramStart"/>
      <w:r>
        <w:rPr>
          <w:rFonts w:cs="Times New Roman" w:hint="eastAsia"/>
          <w:color w:val="000000"/>
          <w:sz w:val="21"/>
          <w:szCs w:val="21"/>
        </w:rPr>
        <w:t>期关系</w:t>
      </w:r>
      <w:proofErr w:type="gramEnd"/>
      <w:r>
        <w:rPr>
          <w:rFonts w:cs="Times New Roman" w:hint="eastAsia"/>
          <w:color w:val="000000"/>
          <w:sz w:val="21"/>
          <w:szCs w:val="21"/>
        </w:rPr>
        <w:t>再平衡可能会导致企业增加或减少指定套</w:t>
      </w:r>
      <w:proofErr w:type="gramStart"/>
      <w:r>
        <w:rPr>
          <w:rFonts w:cs="Times New Roman" w:hint="eastAsia"/>
          <w:color w:val="000000"/>
          <w:sz w:val="21"/>
          <w:szCs w:val="21"/>
        </w:rPr>
        <w:t>期关系</w:t>
      </w:r>
      <w:proofErr w:type="gramEnd"/>
      <w:r>
        <w:rPr>
          <w:rFonts w:cs="Times New Roman" w:hint="eastAsia"/>
          <w:color w:val="000000"/>
          <w:sz w:val="21"/>
          <w:szCs w:val="21"/>
        </w:rPr>
        <w:t>中被套</w:t>
      </w:r>
      <w:proofErr w:type="gramStart"/>
      <w:r>
        <w:rPr>
          <w:rFonts w:cs="Times New Roman" w:hint="eastAsia"/>
          <w:color w:val="000000"/>
          <w:sz w:val="21"/>
          <w:szCs w:val="21"/>
        </w:rPr>
        <w:t>期项目</w:t>
      </w:r>
      <w:proofErr w:type="gramEnd"/>
      <w:r>
        <w:rPr>
          <w:rFonts w:cs="Times New Roman" w:hint="eastAsia"/>
          <w:color w:val="000000"/>
          <w:sz w:val="21"/>
          <w:szCs w:val="21"/>
        </w:rPr>
        <w:t>或套</w:t>
      </w:r>
      <w:proofErr w:type="gramStart"/>
      <w:r>
        <w:rPr>
          <w:rFonts w:cs="Times New Roman" w:hint="eastAsia"/>
          <w:color w:val="000000"/>
          <w:sz w:val="21"/>
          <w:szCs w:val="21"/>
        </w:rPr>
        <w:t>期工具</w:t>
      </w:r>
      <w:proofErr w:type="gramEnd"/>
      <w:r>
        <w:rPr>
          <w:rFonts w:cs="Times New Roman" w:hint="eastAsia"/>
          <w:color w:val="000000"/>
          <w:sz w:val="21"/>
          <w:szCs w:val="21"/>
        </w:rPr>
        <w:t>的数量。企业增加了指定的被套</w:t>
      </w:r>
      <w:proofErr w:type="gramStart"/>
      <w:r>
        <w:rPr>
          <w:rFonts w:cs="Times New Roman" w:hint="eastAsia"/>
          <w:color w:val="000000"/>
          <w:sz w:val="21"/>
          <w:szCs w:val="21"/>
        </w:rPr>
        <w:t>期项目</w:t>
      </w:r>
      <w:proofErr w:type="gramEnd"/>
      <w:r>
        <w:rPr>
          <w:rFonts w:cs="Times New Roman" w:hint="eastAsia"/>
          <w:color w:val="000000"/>
          <w:sz w:val="21"/>
          <w:szCs w:val="21"/>
        </w:rPr>
        <w:t>或套</w:t>
      </w:r>
      <w:proofErr w:type="gramStart"/>
      <w:r>
        <w:rPr>
          <w:rFonts w:cs="Times New Roman" w:hint="eastAsia"/>
          <w:color w:val="000000"/>
          <w:sz w:val="21"/>
          <w:szCs w:val="21"/>
        </w:rPr>
        <w:t>期工具</w:t>
      </w:r>
      <w:proofErr w:type="gramEnd"/>
      <w:r>
        <w:rPr>
          <w:rFonts w:cs="Times New Roman" w:hint="eastAsia"/>
          <w:color w:val="000000"/>
          <w:sz w:val="21"/>
          <w:szCs w:val="21"/>
        </w:rPr>
        <w:t>的，增加部分自指定增加之日起作为套</w:t>
      </w:r>
      <w:proofErr w:type="gramStart"/>
      <w:r>
        <w:rPr>
          <w:rFonts w:cs="Times New Roman" w:hint="eastAsia"/>
          <w:color w:val="000000"/>
          <w:sz w:val="21"/>
          <w:szCs w:val="21"/>
        </w:rPr>
        <w:t>期关系</w:t>
      </w:r>
      <w:proofErr w:type="gramEnd"/>
      <w:r>
        <w:rPr>
          <w:rFonts w:cs="Times New Roman" w:hint="eastAsia"/>
          <w:color w:val="000000"/>
          <w:sz w:val="21"/>
          <w:szCs w:val="21"/>
        </w:rPr>
        <w:t>的一部分进行处理；企业减少了指定的被套</w:t>
      </w:r>
      <w:proofErr w:type="gramStart"/>
      <w:r>
        <w:rPr>
          <w:rFonts w:cs="Times New Roman" w:hint="eastAsia"/>
          <w:color w:val="000000"/>
          <w:sz w:val="21"/>
          <w:szCs w:val="21"/>
        </w:rPr>
        <w:t>期项目</w:t>
      </w:r>
      <w:proofErr w:type="gramEnd"/>
      <w:r>
        <w:rPr>
          <w:rFonts w:cs="Times New Roman" w:hint="eastAsia"/>
          <w:color w:val="000000"/>
          <w:sz w:val="21"/>
          <w:szCs w:val="21"/>
        </w:rPr>
        <w:t>或套</w:t>
      </w:r>
      <w:proofErr w:type="gramStart"/>
      <w:r>
        <w:rPr>
          <w:rFonts w:cs="Times New Roman" w:hint="eastAsia"/>
          <w:color w:val="000000"/>
          <w:sz w:val="21"/>
          <w:szCs w:val="21"/>
        </w:rPr>
        <w:t>期工具</w:t>
      </w:r>
      <w:proofErr w:type="gramEnd"/>
      <w:r>
        <w:rPr>
          <w:rFonts w:cs="Times New Roman" w:hint="eastAsia"/>
          <w:color w:val="000000"/>
          <w:sz w:val="21"/>
          <w:szCs w:val="21"/>
        </w:rPr>
        <w:t>的，减少部分自指定减少之日起不再作为套</w:t>
      </w:r>
      <w:proofErr w:type="gramStart"/>
      <w:r>
        <w:rPr>
          <w:rFonts w:cs="Times New Roman" w:hint="eastAsia"/>
          <w:color w:val="000000"/>
          <w:sz w:val="21"/>
          <w:szCs w:val="21"/>
        </w:rPr>
        <w:t>期关系</w:t>
      </w:r>
      <w:proofErr w:type="gramEnd"/>
      <w:r>
        <w:rPr>
          <w:rFonts w:cs="Times New Roman" w:hint="eastAsia"/>
          <w:color w:val="000000"/>
          <w:sz w:val="21"/>
          <w:szCs w:val="21"/>
        </w:rPr>
        <w:t>的一部分，作为套</w:t>
      </w:r>
      <w:proofErr w:type="gramStart"/>
      <w:r>
        <w:rPr>
          <w:rFonts w:cs="Times New Roman" w:hint="eastAsia"/>
          <w:color w:val="000000"/>
          <w:sz w:val="21"/>
          <w:szCs w:val="21"/>
        </w:rPr>
        <w:t>期关系</w:t>
      </w:r>
      <w:proofErr w:type="gramEnd"/>
      <w:r>
        <w:rPr>
          <w:rFonts w:cs="Times New Roman" w:hint="eastAsia"/>
          <w:color w:val="000000"/>
          <w:sz w:val="21"/>
          <w:szCs w:val="21"/>
        </w:rPr>
        <w:t>终止处理。</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w:t>
      </w:r>
      <w:r w:rsidRPr="00A3576E">
        <w:rPr>
          <w:rFonts w:cs="Times New Roman"/>
          <w:color w:val="000000"/>
          <w:sz w:val="21"/>
          <w:szCs w:val="21"/>
        </w:rPr>
        <w:t>3</w:t>
      </w:r>
      <w:r>
        <w:rPr>
          <w:rFonts w:cs="Times New Roman" w:hint="eastAsia"/>
          <w:color w:val="000000"/>
          <w:sz w:val="21"/>
          <w:szCs w:val="21"/>
        </w:rPr>
        <w:t>）债务重组</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sidRPr="00A3576E">
        <w:rPr>
          <w:rFonts w:cs="Times New Roman" w:hint="eastAsia"/>
          <w:color w:val="000000"/>
          <w:sz w:val="21"/>
          <w:szCs w:val="21"/>
        </w:rPr>
        <w:t>①</w:t>
      </w:r>
      <w:r>
        <w:rPr>
          <w:rFonts w:cs="Times New Roman" w:hint="eastAsia"/>
          <w:color w:val="000000"/>
          <w:sz w:val="21"/>
          <w:szCs w:val="21"/>
        </w:rPr>
        <w:t>本公司作为债务人</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以资产清偿债务方式进行债务重组的，本公司在相关资产和所清偿债务符合终止确认条件时予以终止确认，所清偿债务账面价值与转让资产账面价值之间的差额计入当期损益。</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将债务转为权益工具方式进行债务重组的，本公司在所清偿债务符合终止确认条件时予以终止确认。本公司初始确认权益工具时按照权益工具的公允价值计量，权益工具的公允价值不能可靠计量的，按照所清偿债务的公允价值计量。所清偿债务账面价值与权益工具确认金额之间的差额，计入当期损益。</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采用修改其他条款方式进行债务重组的，本公司按照《企业会计准则第</w:t>
      </w:r>
      <w:r w:rsidRPr="00A3576E">
        <w:rPr>
          <w:rFonts w:cs="Times New Roman"/>
          <w:color w:val="000000"/>
          <w:sz w:val="21"/>
          <w:szCs w:val="21"/>
        </w:rPr>
        <w:t>22</w:t>
      </w:r>
      <w:r>
        <w:rPr>
          <w:rFonts w:cs="Times New Roman" w:hint="eastAsia"/>
          <w:color w:val="000000"/>
          <w:sz w:val="21"/>
          <w:szCs w:val="21"/>
        </w:rPr>
        <w:t>号——金融工具确认和计量》和《企业会计准则第</w:t>
      </w:r>
      <w:r w:rsidRPr="00A3576E">
        <w:rPr>
          <w:rFonts w:cs="Times New Roman"/>
          <w:color w:val="000000"/>
          <w:sz w:val="21"/>
          <w:szCs w:val="21"/>
        </w:rPr>
        <w:t>37</w:t>
      </w:r>
      <w:r>
        <w:rPr>
          <w:rFonts w:cs="Times New Roman" w:hint="eastAsia"/>
          <w:color w:val="000000"/>
          <w:sz w:val="21"/>
          <w:szCs w:val="21"/>
        </w:rPr>
        <w:t>号——金融工具列报》的规定，确认和计量重组债务。</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②本公司作为债权人</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以资产清偿债务或者将债务转为权益工具方式进行债务重组的，债权人应当在相关资产符合其定义和确认条件时予以确认。</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以资产清偿债务方式进行债务重组的，本公司初始确认受让的金融资产以外的资产时，以成本计量，其中存货的成本，包括放弃债权的公允价值和使该资产达到当前位置和状态所发生的可直接归属于该资产的税金、运输费、装卸费、保险费等其他成本。对联营企业或合营企业投资的成本，包括放弃债权的公允价值和</w:t>
      </w:r>
      <w:proofErr w:type="gramStart"/>
      <w:r>
        <w:rPr>
          <w:rFonts w:cs="Times New Roman" w:hint="eastAsia"/>
          <w:color w:val="000000"/>
          <w:sz w:val="21"/>
          <w:szCs w:val="21"/>
        </w:rPr>
        <w:t>可</w:t>
      </w:r>
      <w:proofErr w:type="gramEnd"/>
      <w:r>
        <w:rPr>
          <w:rFonts w:cs="Times New Roman" w:hint="eastAsia"/>
          <w:color w:val="000000"/>
          <w:sz w:val="21"/>
          <w:szCs w:val="21"/>
        </w:rPr>
        <w:t>直接归属于该资产的税金等其他成本。投资性房地产的成本，包括放弃债权的公允价值和</w:t>
      </w:r>
      <w:proofErr w:type="gramStart"/>
      <w:r>
        <w:rPr>
          <w:rFonts w:cs="Times New Roman" w:hint="eastAsia"/>
          <w:color w:val="000000"/>
          <w:sz w:val="21"/>
          <w:szCs w:val="21"/>
        </w:rPr>
        <w:t>可</w:t>
      </w:r>
      <w:proofErr w:type="gramEnd"/>
      <w:r>
        <w:rPr>
          <w:rFonts w:cs="Times New Roman" w:hint="eastAsia"/>
          <w:color w:val="000000"/>
          <w:sz w:val="21"/>
          <w:szCs w:val="21"/>
        </w:rPr>
        <w:t>直接归属于该资产的税金等其他成本。固定资产的成本，包括放弃债权的公允价值和使该资产达到预定可使用状态前所发生的可直接归属于该资产的税金、运输费、装卸费、安装费、专业人员服务费等其</w:t>
      </w:r>
      <w:r>
        <w:rPr>
          <w:rFonts w:cs="Times New Roman" w:hint="eastAsia"/>
          <w:color w:val="000000"/>
          <w:sz w:val="21"/>
          <w:szCs w:val="21"/>
        </w:rPr>
        <w:lastRenderedPageBreak/>
        <w:t>他成本。无形资产的成本，包括放弃债权的公允价值和</w:t>
      </w:r>
      <w:proofErr w:type="gramStart"/>
      <w:r>
        <w:rPr>
          <w:rFonts w:cs="Times New Roman" w:hint="eastAsia"/>
          <w:color w:val="000000"/>
          <w:sz w:val="21"/>
          <w:szCs w:val="21"/>
        </w:rPr>
        <w:t>可</w:t>
      </w:r>
      <w:proofErr w:type="gramEnd"/>
      <w:r>
        <w:rPr>
          <w:rFonts w:cs="Times New Roman" w:hint="eastAsia"/>
          <w:color w:val="000000"/>
          <w:sz w:val="21"/>
          <w:szCs w:val="21"/>
        </w:rPr>
        <w:t>直接归属于使该资产达到预定用途所发生的税金等其他成本。放弃债权的公允价值与账面价值之间的差额，计入当期损益。</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将债务转为权益工具方式进行的债务重组导致本公司将债权转为对联营企业或合营企业的权益性投资的，本公司按照放弃债权的公允价值和</w:t>
      </w:r>
      <w:proofErr w:type="gramStart"/>
      <w:r>
        <w:rPr>
          <w:rFonts w:cs="Times New Roman" w:hint="eastAsia"/>
          <w:color w:val="000000"/>
          <w:sz w:val="21"/>
          <w:szCs w:val="21"/>
        </w:rPr>
        <w:t>可</w:t>
      </w:r>
      <w:proofErr w:type="gramEnd"/>
      <w:r>
        <w:rPr>
          <w:rFonts w:cs="Times New Roman" w:hint="eastAsia"/>
          <w:color w:val="000000"/>
          <w:sz w:val="21"/>
          <w:szCs w:val="21"/>
        </w:rPr>
        <w:t>直接归属于该资产的税金等其他成本计量其初始投资成本。放弃债权的公允价值与账面价值之间的差额，计入当期损益。</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采用修改其他条款方式进行债务重组的，本公司按照《企业会计准则第</w:t>
      </w:r>
      <w:r w:rsidRPr="00A3576E">
        <w:rPr>
          <w:rFonts w:cs="Times New Roman"/>
          <w:color w:val="000000"/>
          <w:sz w:val="21"/>
          <w:szCs w:val="21"/>
        </w:rPr>
        <w:t>22</w:t>
      </w:r>
      <w:r>
        <w:rPr>
          <w:rFonts w:cs="Times New Roman" w:hint="eastAsia"/>
          <w:color w:val="000000"/>
          <w:sz w:val="21"/>
          <w:szCs w:val="21"/>
        </w:rPr>
        <w:t>号——金融工具确认和计量》的规定，确认和计量重组债权。</w:t>
      </w:r>
    </w:p>
    <w:p w:rsidR="00A2119D" w:rsidRPr="00A3576E" w:rsidRDefault="00A2119D" w:rsidP="00A3576E">
      <w:pPr>
        <w:pStyle w:val="a3"/>
        <w:spacing w:before="0" w:beforeAutospacing="0" w:after="0" w:afterAutospacing="0" w:line="360" w:lineRule="auto"/>
        <w:ind w:firstLine="420"/>
        <w:jc w:val="both"/>
        <w:divId w:val="457533785"/>
        <w:rPr>
          <w:rFonts w:cs="Times New Roman"/>
          <w:color w:val="000000"/>
          <w:sz w:val="21"/>
          <w:szCs w:val="21"/>
        </w:rPr>
      </w:pPr>
      <w:r>
        <w:rPr>
          <w:rFonts w:cs="Times New Roman" w:hint="eastAsia"/>
          <w:color w:val="000000"/>
          <w:sz w:val="21"/>
          <w:szCs w:val="21"/>
        </w:rPr>
        <w:t>采用多项资产清偿债务或者组合方式进行债务重组的，首先按照《企业会计准则第</w:t>
      </w:r>
      <w:r w:rsidRPr="00A3576E">
        <w:rPr>
          <w:rFonts w:cs="Times New Roman"/>
          <w:color w:val="000000"/>
          <w:sz w:val="21"/>
          <w:szCs w:val="21"/>
        </w:rPr>
        <w:t>22</w:t>
      </w:r>
      <w:r>
        <w:rPr>
          <w:rFonts w:cs="Times New Roman" w:hint="eastAsia"/>
          <w:color w:val="000000"/>
          <w:sz w:val="21"/>
          <w:szCs w:val="21"/>
        </w:rPr>
        <w:t>号——金融工具确认和计量》的规定确认和计量受让的金融资产和重组债权，然后按照受让的金融资产以外的各项资产的公允价值比例，对放弃债权的公允价值</w:t>
      </w:r>
      <w:proofErr w:type="gramStart"/>
      <w:r>
        <w:rPr>
          <w:rFonts w:cs="Times New Roman" w:hint="eastAsia"/>
          <w:color w:val="000000"/>
          <w:sz w:val="21"/>
          <w:szCs w:val="21"/>
        </w:rPr>
        <w:t>扣除受</w:t>
      </w:r>
      <w:proofErr w:type="gramEnd"/>
      <w:r>
        <w:rPr>
          <w:rFonts w:cs="Times New Roman" w:hint="eastAsia"/>
          <w:color w:val="000000"/>
          <w:sz w:val="21"/>
          <w:szCs w:val="21"/>
        </w:rPr>
        <w:t>让金融资产和重组债权确认金额后的净额进行分配，并以此为基础按照前述方法分别确定各项资产的成本。放弃债权的公允价值与账面价值之间的差额，计入当期损益。</w:t>
      </w:r>
    </w:p>
    <w:p w:rsidR="00A27D66" w:rsidRDefault="00A2119D">
      <w:pPr>
        <w:pStyle w:val="3"/>
        <w:spacing w:line="280" w:lineRule="exact"/>
        <w:jc w:val="left"/>
        <w:rPr>
          <w:rFonts w:ascii="宋体" w:hAnsi="宋体" w:cs="宋体"/>
          <w:b/>
          <w:bCs/>
        </w:rPr>
      </w:pPr>
      <w:bookmarkStart w:id="220" w:name="_Toc989104"/>
      <w:r>
        <w:rPr>
          <w:rFonts w:ascii="宋体" w:hAnsi="宋体" w:cs="宋体"/>
          <w:b/>
          <w:bCs/>
        </w:rPr>
        <w:t>43、重要会计政策和会计估计变更</w:t>
      </w:r>
      <w:bookmarkEnd w:id="220"/>
    </w:p>
    <w:p w:rsidR="00A27D66" w:rsidRDefault="00A2119D">
      <w:pPr>
        <w:keepNext/>
        <w:keepLines/>
        <w:spacing w:before="300" w:after="300" w:line="280" w:lineRule="exact"/>
        <w:outlineLvl w:val="3"/>
        <w:rPr>
          <w:rFonts w:ascii="宋体" w:eastAsia="宋体" w:hAnsi="宋体" w:cs="宋体"/>
          <w:b/>
          <w:bCs/>
          <w:sz w:val="18"/>
          <w:szCs w:val="18"/>
        </w:rPr>
      </w:pPr>
      <w:bookmarkStart w:id="221" w:name="_Toc989105"/>
      <w:r>
        <w:rPr>
          <w:rFonts w:ascii="宋体" w:eastAsia="宋体" w:hAnsi="宋体" w:cs="宋体"/>
          <w:b/>
          <w:bCs/>
          <w:sz w:val="18"/>
          <w:szCs w:val="18"/>
        </w:rPr>
        <w:t>（1） 重要会计政策变更</w:t>
      </w:r>
      <w:bookmarkEnd w:id="221"/>
    </w:p>
    <w:p w:rsidR="00A27D66" w:rsidRDefault="00A2119D" w:rsidP="00A3576E">
      <w:pPr>
        <w:spacing w:before="100" w:after="100" w:line="240" w:lineRule="exact"/>
      </w:pPr>
      <w:r>
        <w:rPr>
          <w:rFonts w:ascii="宋体" w:eastAsia="宋体" w:hAnsi="宋体" w:cs="宋体"/>
          <w:sz w:val="18"/>
          <w:szCs w:val="18"/>
        </w:rPr>
        <w:sym w:font="Wingdings 2" w:char="F052"/>
      </w:r>
      <w:r>
        <w:rPr>
          <w:rFonts w:ascii="宋体" w:eastAsia="宋体" w:hAnsi="宋体" w:cs="宋体"/>
          <w:sz w:val="18"/>
          <w:szCs w:val="18"/>
        </w:rPr>
        <w:t>适用 □不适用</w:t>
      </w:r>
    </w:p>
    <w:p w:rsidR="00A2119D" w:rsidRPr="00A3576E" w:rsidRDefault="00A2119D" w:rsidP="00A3576E">
      <w:pPr>
        <w:pStyle w:val="a3"/>
        <w:spacing w:before="0" w:beforeAutospacing="0" w:after="0" w:afterAutospacing="0" w:line="360" w:lineRule="auto"/>
        <w:ind w:firstLine="420"/>
        <w:jc w:val="both"/>
        <w:divId w:val="592789261"/>
        <w:rPr>
          <w:rFonts w:cs="Times New Roman"/>
          <w:color w:val="000000"/>
          <w:sz w:val="21"/>
          <w:szCs w:val="21"/>
        </w:rPr>
      </w:pPr>
      <w:r>
        <w:rPr>
          <w:rFonts w:cs="Times New Roman" w:hint="eastAsia"/>
          <w:color w:val="000000"/>
          <w:sz w:val="21"/>
          <w:szCs w:val="21"/>
        </w:rPr>
        <w:t>①财政部于</w:t>
      </w:r>
      <w:r w:rsidRPr="00A3576E">
        <w:rPr>
          <w:rFonts w:cs="Times New Roman"/>
          <w:color w:val="000000"/>
          <w:sz w:val="21"/>
          <w:szCs w:val="21"/>
        </w:rPr>
        <w:t>2023</w:t>
      </w:r>
      <w:r>
        <w:rPr>
          <w:rFonts w:cs="Times New Roman" w:hint="eastAsia"/>
          <w:color w:val="000000"/>
          <w:sz w:val="21"/>
          <w:szCs w:val="21"/>
        </w:rPr>
        <w:t>年</w:t>
      </w:r>
      <w:r w:rsidRPr="00A3576E">
        <w:rPr>
          <w:rFonts w:cs="Times New Roman"/>
          <w:color w:val="000000"/>
          <w:sz w:val="21"/>
          <w:szCs w:val="21"/>
        </w:rPr>
        <w:t>10</w:t>
      </w:r>
      <w:r>
        <w:rPr>
          <w:rFonts w:cs="Times New Roman" w:hint="eastAsia"/>
          <w:color w:val="000000"/>
          <w:sz w:val="21"/>
          <w:szCs w:val="21"/>
        </w:rPr>
        <w:t>月</w:t>
      </w:r>
      <w:r w:rsidRPr="00A3576E">
        <w:rPr>
          <w:rFonts w:cs="Times New Roman"/>
          <w:color w:val="000000"/>
          <w:sz w:val="21"/>
          <w:szCs w:val="21"/>
        </w:rPr>
        <w:t>25</w:t>
      </w:r>
      <w:r>
        <w:rPr>
          <w:rFonts w:cs="Times New Roman" w:hint="eastAsia"/>
          <w:color w:val="000000"/>
          <w:sz w:val="21"/>
          <w:szCs w:val="21"/>
        </w:rPr>
        <w:t>日发布了《企业会计准则解释第</w:t>
      </w:r>
      <w:r w:rsidRPr="00A3576E">
        <w:rPr>
          <w:rFonts w:cs="Times New Roman"/>
          <w:color w:val="000000"/>
          <w:sz w:val="21"/>
          <w:szCs w:val="21"/>
        </w:rPr>
        <w:t>17</w:t>
      </w:r>
      <w:r>
        <w:rPr>
          <w:rFonts w:cs="Times New Roman" w:hint="eastAsia"/>
          <w:color w:val="000000"/>
          <w:sz w:val="21"/>
          <w:szCs w:val="21"/>
        </w:rPr>
        <w:t>号》（财会〔</w:t>
      </w:r>
      <w:r w:rsidRPr="00A3576E">
        <w:rPr>
          <w:rFonts w:cs="Times New Roman"/>
          <w:color w:val="000000"/>
          <w:sz w:val="21"/>
          <w:szCs w:val="21"/>
        </w:rPr>
        <w:t>2023</w:t>
      </w:r>
      <w:r>
        <w:rPr>
          <w:rFonts w:cs="Times New Roman" w:hint="eastAsia"/>
          <w:color w:val="000000"/>
          <w:sz w:val="21"/>
          <w:szCs w:val="21"/>
        </w:rPr>
        <w:t>〕</w:t>
      </w:r>
      <w:r w:rsidRPr="00A3576E">
        <w:rPr>
          <w:rFonts w:cs="Times New Roman"/>
          <w:color w:val="000000"/>
          <w:sz w:val="21"/>
          <w:szCs w:val="21"/>
        </w:rPr>
        <w:t>21</w:t>
      </w:r>
      <w:r>
        <w:rPr>
          <w:rFonts w:cs="Times New Roman" w:hint="eastAsia"/>
          <w:color w:val="000000"/>
          <w:sz w:val="21"/>
          <w:szCs w:val="21"/>
        </w:rPr>
        <w:t>号）（以下简称“解释第</w:t>
      </w:r>
      <w:r w:rsidRPr="00A3576E">
        <w:rPr>
          <w:rFonts w:cs="Times New Roman"/>
          <w:color w:val="000000"/>
          <w:sz w:val="21"/>
          <w:szCs w:val="21"/>
        </w:rPr>
        <w:t>17</w:t>
      </w:r>
      <w:r>
        <w:rPr>
          <w:rFonts w:cs="Times New Roman" w:hint="eastAsia"/>
          <w:color w:val="000000"/>
          <w:sz w:val="21"/>
          <w:szCs w:val="21"/>
        </w:rPr>
        <w:t>号”）。</w:t>
      </w:r>
    </w:p>
    <w:p w:rsidR="00A2119D" w:rsidRPr="00A3576E" w:rsidRDefault="00A2119D" w:rsidP="00A3576E">
      <w:pPr>
        <w:pStyle w:val="a3"/>
        <w:spacing w:before="0" w:beforeAutospacing="0" w:after="0" w:afterAutospacing="0" w:line="360" w:lineRule="auto"/>
        <w:ind w:firstLine="420"/>
        <w:jc w:val="both"/>
        <w:divId w:val="592789261"/>
        <w:rPr>
          <w:rFonts w:cs="Times New Roman"/>
          <w:color w:val="000000"/>
          <w:sz w:val="21"/>
          <w:szCs w:val="21"/>
        </w:rPr>
      </w:pPr>
      <w:r w:rsidRPr="00A3576E">
        <w:rPr>
          <w:rFonts w:cs="Times New Roman"/>
          <w:color w:val="000000"/>
          <w:sz w:val="21"/>
          <w:szCs w:val="21"/>
        </w:rPr>
        <w:t>A</w:t>
      </w:r>
      <w:r>
        <w:rPr>
          <w:rFonts w:cs="Times New Roman" w:hint="eastAsia"/>
          <w:color w:val="000000"/>
          <w:sz w:val="21"/>
          <w:szCs w:val="21"/>
        </w:rPr>
        <w:t>、关于流动负债与非流动负债的划分</w:t>
      </w:r>
    </w:p>
    <w:p w:rsidR="00A2119D" w:rsidRPr="00A3576E" w:rsidRDefault="00A2119D" w:rsidP="00A3576E">
      <w:pPr>
        <w:pStyle w:val="a3"/>
        <w:spacing w:before="0" w:beforeAutospacing="0" w:after="0" w:afterAutospacing="0" w:line="360" w:lineRule="auto"/>
        <w:ind w:firstLine="420"/>
        <w:jc w:val="both"/>
        <w:divId w:val="592789261"/>
        <w:rPr>
          <w:rFonts w:cs="Times New Roman"/>
          <w:color w:val="000000"/>
          <w:sz w:val="21"/>
          <w:szCs w:val="21"/>
        </w:rPr>
      </w:pPr>
      <w:r>
        <w:rPr>
          <w:rFonts w:cs="Times New Roman" w:hint="eastAsia"/>
          <w:color w:val="000000"/>
          <w:sz w:val="21"/>
          <w:szCs w:val="21"/>
        </w:rPr>
        <w:t>解释第</w:t>
      </w:r>
      <w:r w:rsidRPr="00A3576E">
        <w:rPr>
          <w:rFonts w:cs="Times New Roman"/>
          <w:color w:val="000000"/>
          <w:sz w:val="21"/>
          <w:szCs w:val="21"/>
        </w:rPr>
        <w:t>17</w:t>
      </w:r>
      <w:r>
        <w:rPr>
          <w:rFonts w:cs="Times New Roman" w:hint="eastAsia"/>
          <w:color w:val="000000"/>
          <w:sz w:val="21"/>
          <w:szCs w:val="21"/>
        </w:rPr>
        <w:t>号明确企业在资产负债表日没有将负债清偿推迟至资产负债表日后一年以上的实质性权利的，该负债应当归类为流动负债。对于企业贷款安排产生的负债，企业将负债清偿推迟至资产负债表日后一年以上的权利可能取决于企业是否遵循了贷款安排中规定的条件（以下简称契约条件），企业在判断其推迟债务清偿的实质性权利是否存在时，仅应考虑在资产负债表日或者之前应遵循的契约条件，不应考虑企业在资产负债表日之后应遵循的契约条件。</w:t>
      </w:r>
    </w:p>
    <w:p w:rsidR="00A2119D" w:rsidRPr="00A3576E" w:rsidRDefault="00A2119D" w:rsidP="00A3576E">
      <w:pPr>
        <w:pStyle w:val="a3"/>
        <w:spacing w:before="0" w:beforeAutospacing="0" w:after="0" w:afterAutospacing="0" w:line="360" w:lineRule="auto"/>
        <w:ind w:firstLine="420"/>
        <w:jc w:val="both"/>
        <w:divId w:val="592789261"/>
        <w:rPr>
          <w:rFonts w:cs="Times New Roman"/>
          <w:color w:val="000000"/>
          <w:sz w:val="21"/>
          <w:szCs w:val="21"/>
        </w:rPr>
      </w:pPr>
      <w:r>
        <w:rPr>
          <w:rFonts w:cs="Times New Roman" w:hint="eastAsia"/>
          <w:color w:val="000000"/>
          <w:sz w:val="21"/>
          <w:szCs w:val="21"/>
        </w:rPr>
        <w:t>对负债的流动性进行划分时的负债清偿是指，企业向交易对手方以转移现金、其他经济资源（如商品或服务）或企业自身权益工具的方式解除负债。负债的条款导致企业在交易对手方选择的情况下通过交付自身权益工具进行清偿的，如果企业按照《企业会计准则第</w:t>
      </w:r>
      <w:r w:rsidRPr="00A3576E">
        <w:rPr>
          <w:rFonts w:cs="Times New Roman"/>
          <w:color w:val="000000"/>
          <w:sz w:val="21"/>
          <w:szCs w:val="21"/>
        </w:rPr>
        <w:t>37</w:t>
      </w:r>
      <w:r>
        <w:rPr>
          <w:rFonts w:cs="Times New Roman" w:hint="eastAsia"/>
          <w:color w:val="000000"/>
          <w:sz w:val="21"/>
          <w:szCs w:val="21"/>
        </w:rPr>
        <w:t>号——金融工具列报》的规定将上述选择权分类为权益工具并将其作为复合金融工具的权益组成部分单独确认，则该条款不影响该项负债的流动性划分。</w:t>
      </w:r>
    </w:p>
    <w:p w:rsidR="00A2119D" w:rsidRPr="00A3576E" w:rsidRDefault="00A2119D" w:rsidP="00A3576E">
      <w:pPr>
        <w:pStyle w:val="a3"/>
        <w:spacing w:before="0" w:beforeAutospacing="0" w:after="0" w:afterAutospacing="0" w:line="360" w:lineRule="auto"/>
        <w:ind w:firstLine="420"/>
        <w:jc w:val="both"/>
        <w:divId w:val="592789261"/>
        <w:rPr>
          <w:rFonts w:cs="Times New Roman"/>
          <w:color w:val="000000"/>
          <w:sz w:val="21"/>
          <w:szCs w:val="21"/>
        </w:rPr>
      </w:pPr>
      <w:r>
        <w:rPr>
          <w:rFonts w:cs="Times New Roman" w:hint="eastAsia"/>
          <w:color w:val="000000"/>
          <w:sz w:val="21"/>
          <w:szCs w:val="21"/>
        </w:rPr>
        <w:t>该解释规定自</w:t>
      </w:r>
      <w:r w:rsidRPr="00A3576E">
        <w:rPr>
          <w:rFonts w:cs="Times New Roman"/>
          <w:color w:val="000000"/>
          <w:sz w:val="21"/>
          <w:szCs w:val="21"/>
        </w:rPr>
        <w:t>2024</w:t>
      </w:r>
      <w:r>
        <w:rPr>
          <w:rFonts w:cs="Times New Roman" w:hint="eastAsia"/>
          <w:color w:val="000000"/>
          <w:sz w:val="21"/>
          <w:szCs w:val="21"/>
        </w:rPr>
        <w:t>年</w:t>
      </w:r>
      <w:r w:rsidRPr="00A3576E">
        <w:rPr>
          <w:rFonts w:cs="Times New Roman"/>
          <w:color w:val="000000"/>
          <w:sz w:val="21"/>
          <w:szCs w:val="21"/>
        </w:rPr>
        <w:t>1</w:t>
      </w:r>
      <w:r>
        <w:rPr>
          <w:rFonts w:cs="Times New Roman" w:hint="eastAsia"/>
          <w:color w:val="000000"/>
          <w:sz w:val="21"/>
          <w:szCs w:val="21"/>
        </w:rPr>
        <w:t>月</w:t>
      </w:r>
      <w:r w:rsidRPr="00A3576E">
        <w:rPr>
          <w:rFonts w:cs="Times New Roman"/>
          <w:color w:val="000000"/>
          <w:sz w:val="21"/>
          <w:szCs w:val="21"/>
        </w:rPr>
        <w:t>1</w:t>
      </w:r>
      <w:r>
        <w:rPr>
          <w:rFonts w:cs="Times New Roman" w:hint="eastAsia"/>
          <w:color w:val="000000"/>
          <w:sz w:val="21"/>
          <w:szCs w:val="21"/>
        </w:rPr>
        <w:t>日起施行，应当按照本解释的规定对可比期间信息进行调整。</w:t>
      </w:r>
    </w:p>
    <w:p w:rsidR="00A2119D" w:rsidRPr="00A3576E" w:rsidRDefault="00A2119D" w:rsidP="00A3576E">
      <w:pPr>
        <w:pStyle w:val="a3"/>
        <w:spacing w:before="0" w:beforeAutospacing="0" w:after="0" w:afterAutospacing="0" w:line="360" w:lineRule="auto"/>
        <w:ind w:firstLine="420"/>
        <w:jc w:val="both"/>
        <w:divId w:val="592789261"/>
        <w:rPr>
          <w:rFonts w:cs="Times New Roman"/>
          <w:color w:val="000000"/>
          <w:sz w:val="21"/>
          <w:szCs w:val="21"/>
        </w:rPr>
      </w:pPr>
      <w:r w:rsidRPr="00A3576E">
        <w:rPr>
          <w:rFonts w:cs="Times New Roman"/>
          <w:color w:val="000000"/>
          <w:sz w:val="21"/>
          <w:szCs w:val="21"/>
        </w:rPr>
        <w:lastRenderedPageBreak/>
        <w:t>B</w:t>
      </w:r>
      <w:r>
        <w:rPr>
          <w:rFonts w:cs="Times New Roman" w:hint="eastAsia"/>
          <w:color w:val="000000"/>
          <w:sz w:val="21"/>
          <w:szCs w:val="21"/>
        </w:rPr>
        <w:t>、关于供应商融资安排的披露</w:t>
      </w:r>
    </w:p>
    <w:p w:rsidR="00A2119D" w:rsidRPr="00A3576E" w:rsidRDefault="00A2119D" w:rsidP="00A3576E">
      <w:pPr>
        <w:pStyle w:val="a3"/>
        <w:spacing w:before="0" w:beforeAutospacing="0" w:after="0" w:afterAutospacing="0" w:line="360" w:lineRule="auto"/>
        <w:ind w:firstLine="420"/>
        <w:jc w:val="both"/>
        <w:divId w:val="592789261"/>
        <w:rPr>
          <w:rFonts w:cs="Times New Roman"/>
          <w:color w:val="000000"/>
          <w:sz w:val="21"/>
          <w:szCs w:val="21"/>
        </w:rPr>
      </w:pPr>
      <w:r>
        <w:rPr>
          <w:rFonts w:cs="Times New Roman" w:hint="eastAsia"/>
          <w:color w:val="000000"/>
          <w:sz w:val="21"/>
          <w:szCs w:val="21"/>
        </w:rPr>
        <w:t>解释第</w:t>
      </w:r>
      <w:r w:rsidRPr="00A3576E">
        <w:rPr>
          <w:rFonts w:cs="Times New Roman"/>
          <w:color w:val="000000"/>
          <w:sz w:val="21"/>
          <w:szCs w:val="21"/>
        </w:rPr>
        <w:t>17</w:t>
      </w:r>
      <w:r>
        <w:rPr>
          <w:rFonts w:cs="Times New Roman" w:hint="eastAsia"/>
          <w:color w:val="000000"/>
          <w:sz w:val="21"/>
          <w:szCs w:val="21"/>
        </w:rPr>
        <w:t>号要求企业在进行附注披露时，应当汇总披露与供应商融资安排有关的信息，以有助于报表使用者评估这些安排对该企业负债、现金流量以及该企业流动性风险敞口的影响。在识别和披露流动性风险信息时也应当考虑供应商融资安排的影响。该解释规定自</w:t>
      </w:r>
      <w:r w:rsidRPr="00A3576E">
        <w:rPr>
          <w:rFonts w:cs="Times New Roman"/>
          <w:color w:val="000000"/>
          <w:sz w:val="21"/>
          <w:szCs w:val="21"/>
        </w:rPr>
        <w:t>2024</w:t>
      </w:r>
      <w:r>
        <w:rPr>
          <w:rFonts w:cs="Times New Roman" w:hint="eastAsia"/>
          <w:color w:val="000000"/>
          <w:sz w:val="21"/>
          <w:szCs w:val="21"/>
        </w:rPr>
        <w:t>年</w:t>
      </w:r>
      <w:r w:rsidRPr="00A3576E">
        <w:rPr>
          <w:rFonts w:cs="Times New Roman"/>
          <w:color w:val="000000"/>
          <w:sz w:val="21"/>
          <w:szCs w:val="21"/>
        </w:rPr>
        <w:t>1</w:t>
      </w:r>
      <w:r>
        <w:rPr>
          <w:rFonts w:cs="Times New Roman" w:hint="eastAsia"/>
          <w:color w:val="000000"/>
          <w:sz w:val="21"/>
          <w:szCs w:val="21"/>
        </w:rPr>
        <w:t>月</w:t>
      </w:r>
      <w:r w:rsidRPr="00A3576E">
        <w:rPr>
          <w:rFonts w:cs="Times New Roman"/>
          <w:color w:val="000000"/>
          <w:sz w:val="21"/>
          <w:szCs w:val="21"/>
        </w:rPr>
        <w:t>1</w:t>
      </w:r>
      <w:r>
        <w:rPr>
          <w:rFonts w:cs="Times New Roman" w:hint="eastAsia"/>
          <w:color w:val="000000"/>
          <w:sz w:val="21"/>
          <w:szCs w:val="21"/>
        </w:rPr>
        <w:t>日起施行，无需在首次执行该解释规定的报告中披露该规定要求的信息。</w:t>
      </w:r>
    </w:p>
    <w:p w:rsidR="00A2119D" w:rsidRPr="00A3576E" w:rsidRDefault="00A2119D" w:rsidP="00A3576E">
      <w:pPr>
        <w:pStyle w:val="a3"/>
        <w:spacing w:before="0" w:beforeAutospacing="0" w:after="0" w:afterAutospacing="0" w:line="360" w:lineRule="auto"/>
        <w:ind w:firstLine="420"/>
        <w:jc w:val="both"/>
        <w:divId w:val="592789261"/>
        <w:rPr>
          <w:rFonts w:cs="Times New Roman"/>
          <w:color w:val="000000"/>
          <w:sz w:val="21"/>
          <w:szCs w:val="21"/>
        </w:rPr>
      </w:pPr>
      <w:r w:rsidRPr="00A3576E">
        <w:rPr>
          <w:rFonts w:cs="Times New Roman"/>
          <w:color w:val="000000"/>
          <w:sz w:val="21"/>
          <w:szCs w:val="21"/>
        </w:rPr>
        <w:t>C</w:t>
      </w:r>
      <w:r>
        <w:rPr>
          <w:rFonts w:cs="Times New Roman" w:hint="eastAsia"/>
          <w:color w:val="000000"/>
          <w:sz w:val="21"/>
          <w:szCs w:val="21"/>
        </w:rPr>
        <w:t>、关于售后租回交易的会计处理</w:t>
      </w:r>
    </w:p>
    <w:p w:rsidR="00A2119D" w:rsidRPr="00A3576E" w:rsidRDefault="00A2119D" w:rsidP="00A3576E">
      <w:pPr>
        <w:pStyle w:val="a3"/>
        <w:spacing w:before="0" w:beforeAutospacing="0" w:after="0" w:afterAutospacing="0" w:line="360" w:lineRule="auto"/>
        <w:ind w:firstLine="420"/>
        <w:jc w:val="both"/>
        <w:divId w:val="592789261"/>
        <w:rPr>
          <w:rFonts w:cs="Times New Roman"/>
          <w:color w:val="000000"/>
          <w:sz w:val="21"/>
          <w:szCs w:val="21"/>
        </w:rPr>
      </w:pPr>
      <w:r>
        <w:rPr>
          <w:rFonts w:cs="Times New Roman" w:hint="eastAsia"/>
          <w:color w:val="000000"/>
          <w:sz w:val="21"/>
          <w:szCs w:val="21"/>
        </w:rPr>
        <w:t>解释第</w:t>
      </w:r>
      <w:r w:rsidRPr="00A3576E">
        <w:rPr>
          <w:rFonts w:cs="Times New Roman"/>
          <w:color w:val="000000"/>
          <w:sz w:val="21"/>
          <w:szCs w:val="21"/>
        </w:rPr>
        <w:t>17</w:t>
      </w:r>
      <w:r>
        <w:rPr>
          <w:rFonts w:cs="Times New Roman" w:hint="eastAsia"/>
          <w:color w:val="000000"/>
          <w:sz w:val="21"/>
          <w:szCs w:val="21"/>
        </w:rPr>
        <w:t>号规定，承租人在对售后租回所形成的租赁负债进行后续计量时，确定租赁付款额或变更后租赁付款额的方式不得导致其确认与租回所获得的使用权有关的利得或损失。该解释规定自</w:t>
      </w:r>
      <w:r w:rsidRPr="00A3576E">
        <w:rPr>
          <w:rFonts w:cs="Times New Roman"/>
          <w:color w:val="000000"/>
          <w:sz w:val="21"/>
          <w:szCs w:val="21"/>
        </w:rPr>
        <w:t>2024</w:t>
      </w:r>
      <w:r>
        <w:rPr>
          <w:rFonts w:cs="Times New Roman" w:hint="eastAsia"/>
          <w:color w:val="000000"/>
          <w:sz w:val="21"/>
          <w:szCs w:val="21"/>
        </w:rPr>
        <w:t>年</w:t>
      </w:r>
      <w:r w:rsidRPr="00A3576E">
        <w:rPr>
          <w:rFonts w:cs="Times New Roman"/>
          <w:color w:val="000000"/>
          <w:sz w:val="21"/>
          <w:szCs w:val="21"/>
        </w:rPr>
        <w:t>1</w:t>
      </w:r>
      <w:r>
        <w:rPr>
          <w:rFonts w:cs="Times New Roman" w:hint="eastAsia"/>
          <w:color w:val="000000"/>
          <w:sz w:val="21"/>
          <w:szCs w:val="21"/>
        </w:rPr>
        <w:t>月</w:t>
      </w:r>
      <w:r w:rsidRPr="00A3576E">
        <w:rPr>
          <w:rFonts w:cs="Times New Roman"/>
          <w:color w:val="000000"/>
          <w:sz w:val="21"/>
          <w:szCs w:val="21"/>
        </w:rPr>
        <w:t>1</w:t>
      </w:r>
      <w:r>
        <w:rPr>
          <w:rFonts w:cs="Times New Roman" w:hint="eastAsia"/>
          <w:color w:val="000000"/>
          <w:sz w:val="21"/>
          <w:szCs w:val="21"/>
        </w:rPr>
        <w:t>日起施行，应当对《企业会计准则第</w:t>
      </w:r>
      <w:r w:rsidRPr="00A3576E">
        <w:rPr>
          <w:rFonts w:cs="Times New Roman"/>
          <w:color w:val="000000"/>
          <w:sz w:val="21"/>
          <w:szCs w:val="21"/>
        </w:rPr>
        <w:t>21</w:t>
      </w:r>
      <w:r>
        <w:rPr>
          <w:rFonts w:cs="Times New Roman" w:hint="eastAsia"/>
          <w:color w:val="000000"/>
          <w:sz w:val="21"/>
          <w:szCs w:val="21"/>
        </w:rPr>
        <w:t>号——租赁》首次执行日后开展的售后租回交易进行追溯调整。</w:t>
      </w:r>
    </w:p>
    <w:p w:rsidR="00A2119D" w:rsidRPr="00A3576E" w:rsidRDefault="00A2119D" w:rsidP="00A3576E">
      <w:pPr>
        <w:pStyle w:val="a3"/>
        <w:spacing w:before="0" w:beforeAutospacing="0" w:after="0" w:afterAutospacing="0" w:line="360" w:lineRule="auto"/>
        <w:ind w:firstLine="420"/>
        <w:jc w:val="both"/>
        <w:divId w:val="592789261"/>
        <w:rPr>
          <w:rFonts w:cs="Times New Roman"/>
          <w:color w:val="000000"/>
          <w:sz w:val="21"/>
          <w:szCs w:val="21"/>
        </w:rPr>
      </w:pPr>
      <w:r>
        <w:rPr>
          <w:rFonts w:cs="Times New Roman" w:hint="eastAsia"/>
          <w:color w:val="000000"/>
          <w:sz w:val="21"/>
          <w:szCs w:val="21"/>
        </w:rPr>
        <w:t>本公司自</w:t>
      </w:r>
      <w:r w:rsidRPr="00A3576E">
        <w:rPr>
          <w:rFonts w:cs="Times New Roman"/>
          <w:color w:val="000000"/>
          <w:sz w:val="21"/>
          <w:szCs w:val="21"/>
        </w:rPr>
        <w:t>2024</w:t>
      </w:r>
      <w:r>
        <w:rPr>
          <w:rFonts w:cs="Times New Roman" w:hint="eastAsia"/>
          <w:color w:val="000000"/>
          <w:sz w:val="21"/>
          <w:szCs w:val="21"/>
        </w:rPr>
        <w:t>年</w:t>
      </w:r>
      <w:r w:rsidRPr="00A3576E">
        <w:rPr>
          <w:rFonts w:cs="Times New Roman"/>
          <w:color w:val="000000"/>
          <w:sz w:val="21"/>
          <w:szCs w:val="21"/>
        </w:rPr>
        <w:t>1</w:t>
      </w:r>
      <w:r>
        <w:rPr>
          <w:rFonts w:cs="Times New Roman" w:hint="eastAsia"/>
          <w:color w:val="000000"/>
          <w:sz w:val="21"/>
          <w:szCs w:val="21"/>
        </w:rPr>
        <w:t>月</w:t>
      </w:r>
      <w:r w:rsidRPr="00A3576E">
        <w:rPr>
          <w:rFonts w:cs="Times New Roman"/>
          <w:color w:val="000000"/>
          <w:sz w:val="21"/>
          <w:szCs w:val="21"/>
        </w:rPr>
        <w:t>1</w:t>
      </w:r>
      <w:r>
        <w:rPr>
          <w:rFonts w:cs="Times New Roman" w:hint="eastAsia"/>
          <w:color w:val="000000"/>
          <w:sz w:val="21"/>
          <w:szCs w:val="21"/>
        </w:rPr>
        <w:t>日起执行解释第</w:t>
      </w:r>
      <w:r w:rsidRPr="00A3576E">
        <w:rPr>
          <w:rFonts w:cs="Times New Roman"/>
          <w:color w:val="000000"/>
          <w:sz w:val="21"/>
          <w:szCs w:val="21"/>
        </w:rPr>
        <w:t>17</w:t>
      </w:r>
      <w:r>
        <w:rPr>
          <w:rFonts w:cs="Times New Roman" w:hint="eastAsia"/>
          <w:color w:val="000000"/>
          <w:sz w:val="21"/>
          <w:szCs w:val="21"/>
        </w:rPr>
        <w:t>号的规定，执行该规定对公司本期内财务报表无重大影响。</w:t>
      </w:r>
    </w:p>
    <w:p w:rsidR="00A2119D" w:rsidRPr="00A3576E" w:rsidRDefault="00A2119D" w:rsidP="00A3576E">
      <w:pPr>
        <w:pStyle w:val="a3"/>
        <w:spacing w:before="0" w:beforeAutospacing="0" w:after="0" w:afterAutospacing="0" w:line="360" w:lineRule="auto"/>
        <w:ind w:firstLine="420"/>
        <w:jc w:val="both"/>
        <w:divId w:val="592789261"/>
        <w:rPr>
          <w:rFonts w:cs="Times New Roman"/>
          <w:color w:val="000000"/>
          <w:sz w:val="21"/>
          <w:szCs w:val="21"/>
        </w:rPr>
      </w:pPr>
      <w:r>
        <w:rPr>
          <w:rFonts w:cs="Times New Roman" w:hint="eastAsia"/>
          <w:color w:val="000000"/>
          <w:sz w:val="21"/>
          <w:szCs w:val="21"/>
        </w:rPr>
        <w:t>②财政部于</w:t>
      </w:r>
      <w:r w:rsidRPr="00A3576E">
        <w:rPr>
          <w:rFonts w:cs="Times New Roman"/>
          <w:color w:val="000000"/>
          <w:sz w:val="21"/>
          <w:szCs w:val="21"/>
        </w:rPr>
        <w:t>2024</w:t>
      </w:r>
      <w:r>
        <w:rPr>
          <w:rFonts w:cs="Times New Roman" w:hint="eastAsia"/>
          <w:color w:val="000000"/>
          <w:sz w:val="21"/>
          <w:szCs w:val="21"/>
        </w:rPr>
        <w:t>年</w:t>
      </w:r>
      <w:r w:rsidRPr="00A3576E">
        <w:rPr>
          <w:rFonts w:cs="Times New Roman"/>
          <w:color w:val="000000"/>
          <w:sz w:val="21"/>
          <w:szCs w:val="21"/>
        </w:rPr>
        <w:t>12</w:t>
      </w:r>
      <w:r>
        <w:rPr>
          <w:rFonts w:cs="Times New Roman" w:hint="eastAsia"/>
          <w:color w:val="000000"/>
          <w:sz w:val="21"/>
          <w:szCs w:val="21"/>
        </w:rPr>
        <w:t>月</w:t>
      </w:r>
      <w:r w:rsidRPr="00A3576E">
        <w:rPr>
          <w:rFonts w:cs="Times New Roman"/>
          <w:color w:val="000000"/>
          <w:sz w:val="21"/>
          <w:szCs w:val="21"/>
        </w:rPr>
        <w:t>6</w:t>
      </w:r>
      <w:r>
        <w:rPr>
          <w:rFonts w:cs="Times New Roman" w:hint="eastAsia"/>
          <w:color w:val="000000"/>
          <w:sz w:val="21"/>
          <w:szCs w:val="21"/>
        </w:rPr>
        <w:t>日发布了《企业会计准则解释第</w:t>
      </w:r>
      <w:r w:rsidRPr="00A3576E">
        <w:rPr>
          <w:rFonts w:cs="Times New Roman"/>
          <w:color w:val="000000"/>
          <w:sz w:val="21"/>
          <w:szCs w:val="21"/>
        </w:rPr>
        <w:t>18</w:t>
      </w:r>
      <w:r>
        <w:rPr>
          <w:rFonts w:cs="Times New Roman" w:hint="eastAsia"/>
          <w:color w:val="000000"/>
          <w:sz w:val="21"/>
          <w:szCs w:val="21"/>
        </w:rPr>
        <w:t>号》（财会〔</w:t>
      </w:r>
      <w:r w:rsidRPr="00A3576E">
        <w:rPr>
          <w:rFonts w:cs="Times New Roman"/>
          <w:color w:val="000000"/>
          <w:sz w:val="21"/>
          <w:szCs w:val="21"/>
        </w:rPr>
        <w:t>2024</w:t>
      </w:r>
      <w:r>
        <w:rPr>
          <w:rFonts w:cs="Times New Roman" w:hint="eastAsia"/>
          <w:color w:val="000000"/>
          <w:sz w:val="21"/>
          <w:szCs w:val="21"/>
        </w:rPr>
        <w:t>〕</w:t>
      </w:r>
      <w:r w:rsidRPr="00A3576E">
        <w:rPr>
          <w:rFonts w:cs="Times New Roman"/>
          <w:color w:val="000000"/>
          <w:sz w:val="21"/>
          <w:szCs w:val="21"/>
        </w:rPr>
        <w:t>24</w:t>
      </w:r>
      <w:r>
        <w:rPr>
          <w:rFonts w:cs="Times New Roman" w:hint="eastAsia"/>
          <w:color w:val="000000"/>
          <w:sz w:val="21"/>
          <w:szCs w:val="21"/>
        </w:rPr>
        <w:t>号）（以下简称“解释第</w:t>
      </w:r>
      <w:r w:rsidRPr="00A3576E">
        <w:rPr>
          <w:rFonts w:cs="Times New Roman"/>
          <w:color w:val="000000"/>
          <w:sz w:val="21"/>
          <w:szCs w:val="21"/>
        </w:rPr>
        <w:t>18</w:t>
      </w:r>
      <w:r>
        <w:rPr>
          <w:rFonts w:cs="Times New Roman" w:hint="eastAsia"/>
          <w:color w:val="000000"/>
          <w:sz w:val="21"/>
          <w:szCs w:val="21"/>
        </w:rPr>
        <w:t>号”）。解释第</w:t>
      </w:r>
      <w:r w:rsidRPr="00A3576E">
        <w:rPr>
          <w:rFonts w:cs="Times New Roman"/>
          <w:color w:val="000000"/>
          <w:sz w:val="21"/>
          <w:szCs w:val="21"/>
        </w:rPr>
        <w:t>18</w:t>
      </w:r>
      <w:r>
        <w:rPr>
          <w:rFonts w:cs="Times New Roman" w:hint="eastAsia"/>
          <w:color w:val="000000"/>
          <w:sz w:val="21"/>
          <w:szCs w:val="21"/>
        </w:rPr>
        <w:t>号规定，根据《企业会计准则第</w:t>
      </w:r>
      <w:r w:rsidRPr="00A3576E">
        <w:rPr>
          <w:rFonts w:cs="Times New Roman"/>
          <w:color w:val="000000"/>
          <w:sz w:val="21"/>
          <w:szCs w:val="21"/>
        </w:rPr>
        <w:t>14</w:t>
      </w:r>
      <w:r>
        <w:rPr>
          <w:rFonts w:cs="Times New Roman" w:hint="eastAsia"/>
          <w:color w:val="000000"/>
          <w:sz w:val="21"/>
          <w:szCs w:val="21"/>
        </w:rPr>
        <w:t>号——收入》（财会〔</w:t>
      </w:r>
      <w:r w:rsidRPr="00A3576E">
        <w:rPr>
          <w:rFonts w:cs="Times New Roman"/>
          <w:color w:val="000000"/>
          <w:sz w:val="21"/>
          <w:szCs w:val="21"/>
        </w:rPr>
        <w:t>2017</w:t>
      </w:r>
      <w:r>
        <w:rPr>
          <w:rFonts w:cs="Times New Roman" w:hint="eastAsia"/>
          <w:color w:val="000000"/>
          <w:sz w:val="21"/>
          <w:szCs w:val="21"/>
        </w:rPr>
        <w:t>〕</w:t>
      </w:r>
      <w:r w:rsidRPr="00A3576E">
        <w:rPr>
          <w:rFonts w:cs="Times New Roman"/>
          <w:color w:val="000000"/>
          <w:sz w:val="21"/>
          <w:szCs w:val="21"/>
        </w:rPr>
        <w:t>22</w:t>
      </w:r>
      <w:r>
        <w:rPr>
          <w:rFonts w:cs="Times New Roman" w:hint="eastAsia"/>
          <w:color w:val="000000"/>
          <w:sz w:val="21"/>
          <w:szCs w:val="21"/>
        </w:rPr>
        <w:t>号）第三十三条等有关规定，对于不属于单项履约义务的保证类质量保证，企业应当按照《企业会计准则第</w:t>
      </w:r>
      <w:r w:rsidRPr="00A3576E">
        <w:rPr>
          <w:rFonts w:cs="Times New Roman"/>
          <w:color w:val="000000"/>
          <w:sz w:val="21"/>
          <w:szCs w:val="21"/>
        </w:rPr>
        <w:t>13</w:t>
      </w:r>
      <w:r>
        <w:rPr>
          <w:rFonts w:cs="Times New Roman" w:hint="eastAsia"/>
          <w:color w:val="000000"/>
          <w:sz w:val="21"/>
          <w:szCs w:val="21"/>
        </w:rPr>
        <w:t>号——或有事项》（财会〔</w:t>
      </w:r>
      <w:r w:rsidRPr="00A3576E">
        <w:rPr>
          <w:rFonts w:cs="Times New Roman"/>
          <w:color w:val="000000"/>
          <w:sz w:val="21"/>
          <w:szCs w:val="21"/>
        </w:rPr>
        <w:t>2006</w:t>
      </w:r>
      <w:r>
        <w:rPr>
          <w:rFonts w:cs="Times New Roman" w:hint="eastAsia"/>
          <w:color w:val="000000"/>
          <w:sz w:val="21"/>
          <w:szCs w:val="21"/>
        </w:rPr>
        <w:t>〕</w:t>
      </w:r>
      <w:r w:rsidRPr="00A3576E">
        <w:rPr>
          <w:rFonts w:cs="Times New Roman"/>
          <w:color w:val="000000"/>
          <w:sz w:val="21"/>
          <w:szCs w:val="21"/>
        </w:rPr>
        <w:t>3</w:t>
      </w:r>
      <w:r>
        <w:rPr>
          <w:rFonts w:cs="Times New Roman" w:hint="eastAsia"/>
          <w:color w:val="000000"/>
          <w:sz w:val="21"/>
          <w:szCs w:val="21"/>
        </w:rPr>
        <w:t>号）规定进行会计处理。在对因上述保证类质量保证产生的预计负债进行会计核算时，企业应当根据《企业会计准则第</w:t>
      </w:r>
      <w:r w:rsidRPr="00A3576E">
        <w:rPr>
          <w:rFonts w:cs="Times New Roman"/>
          <w:color w:val="000000"/>
          <w:sz w:val="21"/>
          <w:szCs w:val="21"/>
        </w:rPr>
        <w:t>13</w:t>
      </w:r>
      <w:r>
        <w:rPr>
          <w:rFonts w:cs="Times New Roman" w:hint="eastAsia"/>
          <w:color w:val="000000"/>
          <w:sz w:val="21"/>
          <w:szCs w:val="21"/>
        </w:rPr>
        <w:t>号——或有事项》有关规定，按确定的预计负债金额，借记“主营业务成本”、“其他业务成本”等科目，贷记“预计负债”科目，并相应在利润表中的“营业成本”和资产负债表中的“其他流动负债”、“一年内到期的非流动负债”、“预计负债”等项目列示。上述会计处理规定自</w:t>
      </w:r>
      <w:r w:rsidRPr="00A3576E">
        <w:rPr>
          <w:rFonts w:cs="Times New Roman"/>
          <w:color w:val="000000"/>
          <w:sz w:val="21"/>
          <w:szCs w:val="21"/>
        </w:rPr>
        <w:t>2024</w:t>
      </w:r>
      <w:r>
        <w:rPr>
          <w:rFonts w:cs="Times New Roman" w:hint="eastAsia"/>
          <w:color w:val="000000"/>
          <w:sz w:val="21"/>
          <w:szCs w:val="21"/>
        </w:rPr>
        <w:t>年</w:t>
      </w:r>
      <w:r w:rsidRPr="00A3576E">
        <w:rPr>
          <w:rFonts w:cs="Times New Roman"/>
          <w:color w:val="000000"/>
          <w:sz w:val="21"/>
          <w:szCs w:val="21"/>
        </w:rPr>
        <w:t>12</w:t>
      </w:r>
      <w:r>
        <w:rPr>
          <w:rFonts w:cs="Times New Roman" w:hint="eastAsia"/>
          <w:color w:val="000000"/>
          <w:sz w:val="21"/>
          <w:szCs w:val="21"/>
        </w:rPr>
        <w:t>月</w:t>
      </w:r>
      <w:r w:rsidRPr="00A3576E">
        <w:rPr>
          <w:rFonts w:cs="Times New Roman"/>
          <w:color w:val="000000"/>
          <w:sz w:val="21"/>
          <w:szCs w:val="21"/>
        </w:rPr>
        <w:t>6</w:t>
      </w:r>
      <w:r>
        <w:rPr>
          <w:rFonts w:cs="Times New Roman" w:hint="eastAsia"/>
          <w:color w:val="000000"/>
          <w:sz w:val="21"/>
          <w:szCs w:val="21"/>
        </w:rPr>
        <w:t>日起施行，上述保证类质量保证会计处理涉及的会计科目和报表列</w:t>
      </w:r>
      <w:proofErr w:type="gramStart"/>
      <w:r>
        <w:rPr>
          <w:rFonts w:cs="Times New Roman" w:hint="eastAsia"/>
          <w:color w:val="000000"/>
          <w:sz w:val="21"/>
          <w:szCs w:val="21"/>
        </w:rPr>
        <w:t>报项目</w:t>
      </w:r>
      <w:proofErr w:type="gramEnd"/>
      <w:r>
        <w:rPr>
          <w:rFonts w:cs="Times New Roman" w:hint="eastAsia"/>
          <w:color w:val="000000"/>
          <w:sz w:val="21"/>
          <w:szCs w:val="21"/>
        </w:rPr>
        <w:t>的变更应进行追溯调整。</w:t>
      </w:r>
    </w:p>
    <w:p w:rsidR="00A2119D" w:rsidRPr="00A3576E" w:rsidRDefault="00A2119D" w:rsidP="00A3576E">
      <w:pPr>
        <w:pStyle w:val="a3"/>
        <w:spacing w:before="0" w:beforeAutospacing="0" w:after="0" w:afterAutospacing="0" w:line="360" w:lineRule="auto"/>
        <w:ind w:firstLine="420"/>
        <w:jc w:val="both"/>
        <w:divId w:val="592789261"/>
        <w:rPr>
          <w:rFonts w:cs="Times New Roman"/>
          <w:color w:val="000000"/>
          <w:sz w:val="21"/>
          <w:szCs w:val="21"/>
        </w:rPr>
      </w:pPr>
      <w:r>
        <w:rPr>
          <w:rFonts w:cs="Times New Roman" w:hint="eastAsia"/>
          <w:color w:val="000000"/>
          <w:sz w:val="21"/>
          <w:szCs w:val="21"/>
        </w:rPr>
        <w:t>本公司自</w:t>
      </w:r>
      <w:r w:rsidRPr="00A3576E">
        <w:rPr>
          <w:rFonts w:cs="Times New Roman"/>
          <w:color w:val="000000"/>
          <w:sz w:val="21"/>
          <w:szCs w:val="21"/>
        </w:rPr>
        <w:t>2024</w:t>
      </w:r>
      <w:r>
        <w:rPr>
          <w:rFonts w:cs="Times New Roman" w:hint="eastAsia"/>
          <w:color w:val="000000"/>
          <w:sz w:val="21"/>
          <w:szCs w:val="21"/>
        </w:rPr>
        <w:t>年</w:t>
      </w:r>
      <w:r w:rsidRPr="00A3576E">
        <w:rPr>
          <w:rFonts w:cs="Times New Roman"/>
          <w:color w:val="000000"/>
          <w:sz w:val="21"/>
          <w:szCs w:val="21"/>
        </w:rPr>
        <w:t>12</w:t>
      </w:r>
      <w:r>
        <w:rPr>
          <w:rFonts w:cs="Times New Roman" w:hint="eastAsia"/>
          <w:color w:val="000000"/>
          <w:sz w:val="21"/>
          <w:szCs w:val="21"/>
        </w:rPr>
        <w:t>月</w:t>
      </w:r>
      <w:r w:rsidRPr="00A3576E">
        <w:rPr>
          <w:rFonts w:cs="Times New Roman"/>
          <w:color w:val="000000"/>
          <w:sz w:val="21"/>
          <w:szCs w:val="21"/>
        </w:rPr>
        <w:t>6</w:t>
      </w:r>
      <w:r>
        <w:rPr>
          <w:rFonts w:cs="Times New Roman" w:hint="eastAsia"/>
          <w:color w:val="000000"/>
          <w:sz w:val="21"/>
          <w:szCs w:val="21"/>
        </w:rPr>
        <w:t>日起执行解释第</w:t>
      </w:r>
      <w:r w:rsidRPr="00A3576E">
        <w:rPr>
          <w:rFonts w:cs="Times New Roman"/>
          <w:color w:val="000000"/>
          <w:sz w:val="21"/>
          <w:szCs w:val="21"/>
        </w:rPr>
        <w:t>18</w:t>
      </w:r>
      <w:r>
        <w:rPr>
          <w:rFonts w:cs="Times New Roman" w:hint="eastAsia"/>
          <w:color w:val="000000"/>
          <w:sz w:val="21"/>
          <w:szCs w:val="21"/>
        </w:rPr>
        <w:t>号的规定，执行该规定对公司本期内财务报表无重大影响。</w:t>
      </w:r>
    </w:p>
    <w:p w:rsidR="00A27D66" w:rsidRDefault="00A2119D">
      <w:pPr>
        <w:keepNext/>
        <w:keepLines/>
        <w:spacing w:before="300" w:after="300" w:line="280" w:lineRule="exact"/>
        <w:outlineLvl w:val="3"/>
        <w:rPr>
          <w:rFonts w:ascii="宋体" w:eastAsia="宋体" w:hAnsi="宋体" w:cs="宋体"/>
          <w:b/>
          <w:bCs/>
          <w:sz w:val="18"/>
          <w:szCs w:val="18"/>
        </w:rPr>
      </w:pPr>
      <w:bookmarkStart w:id="222" w:name="_Toc989106"/>
      <w:r>
        <w:rPr>
          <w:rFonts w:ascii="宋体" w:eastAsia="宋体" w:hAnsi="宋体" w:cs="宋体"/>
          <w:b/>
          <w:bCs/>
          <w:sz w:val="18"/>
          <w:szCs w:val="18"/>
        </w:rPr>
        <w:t>（2） 重要会计估计变更</w:t>
      </w:r>
      <w:bookmarkEnd w:id="222"/>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keepNext/>
        <w:keepLines/>
        <w:spacing w:before="300" w:after="300" w:line="280" w:lineRule="exact"/>
        <w:outlineLvl w:val="3"/>
        <w:rPr>
          <w:rFonts w:ascii="宋体" w:eastAsia="宋体" w:hAnsi="宋体" w:cs="宋体"/>
          <w:b/>
          <w:bCs/>
          <w:sz w:val="18"/>
          <w:szCs w:val="18"/>
        </w:rPr>
      </w:pPr>
      <w:bookmarkStart w:id="223" w:name="_Toc989107"/>
      <w:r>
        <w:rPr>
          <w:rFonts w:ascii="宋体" w:eastAsia="宋体" w:hAnsi="宋体" w:cs="宋体"/>
          <w:b/>
          <w:bCs/>
          <w:sz w:val="18"/>
          <w:szCs w:val="18"/>
        </w:rPr>
        <w:t>（3） 2024年起首次执行新会计准则调整首次执行当年年初财务报表相关项目情况</w:t>
      </w:r>
      <w:bookmarkEnd w:id="223"/>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224" w:name="_Toc989108"/>
      <w:r>
        <w:rPr>
          <w:rFonts w:ascii="宋体" w:hAnsi="宋体" w:cs="宋体"/>
          <w:b/>
          <w:bCs/>
        </w:rPr>
        <w:lastRenderedPageBreak/>
        <w:t>44、其他</w:t>
      </w:r>
      <w:bookmarkEnd w:id="224"/>
    </w:p>
    <w:p w:rsidR="00A2119D" w:rsidRDefault="00A2119D">
      <w:pPr>
        <w:pStyle w:val="a3"/>
        <w:divId w:val="1665670345"/>
        <w:rPr>
          <w:sz w:val="18"/>
          <w:szCs w:val="18"/>
        </w:rPr>
      </w:pPr>
      <w:r>
        <w:rPr>
          <w:rFonts w:hint="eastAsia"/>
          <w:sz w:val="18"/>
          <w:szCs w:val="18"/>
        </w:rPr>
        <w:t>不适用。</w:t>
      </w:r>
    </w:p>
    <w:p w:rsidR="00A27D66" w:rsidRDefault="00A2119D">
      <w:pPr>
        <w:pStyle w:val="2"/>
        <w:spacing w:before="300" w:after="300" w:line="320" w:lineRule="exact"/>
        <w:rPr>
          <w:rFonts w:ascii="宋体" w:eastAsia="宋体" w:hAnsi="宋体" w:cs="宋体"/>
          <w:b/>
          <w:bCs/>
          <w:sz w:val="24"/>
          <w:szCs w:val="24"/>
        </w:rPr>
      </w:pPr>
      <w:bookmarkStart w:id="225" w:name="_Toc989109"/>
      <w:r>
        <w:rPr>
          <w:rFonts w:ascii="宋体" w:eastAsia="宋体" w:hAnsi="宋体" w:cs="宋体"/>
          <w:b/>
          <w:bCs/>
          <w:sz w:val="24"/>
          <w:szCs w:val="24"/>
        </w:rPr>
        <w:t>六、税项</w:t>
      </w:r>
      <w:bookmarkEnd w:id="225"/>
    </w:p>
    <w:p w:rsidR="00A27D66" w:rsidRDefault="00A2119D">
      <w:pPr>
        <w:pStyle w:val="3"/>
        <w:spacing w:line="280" w:lineRule="exact"/>
        <w:jc w:val="left"/>
        <w:rPr>
          <w:rFonts w:ascii="宋体" w:hAnsi="宋体" w:cs="宋体"/>
          <w:b/>
          <w:bCs/>
        </w:rPr>
      </w:pPr>
      <w:bookmarkStart w:id="226" w:name="_Toc989110"/>
      <w:r>
        <w:rPr>
          <w:rFonts w:ascii="宋体" w:hAnsi="宋体" w:cs="宋体"/>
          <w:b/>
          <w:bCs/>
        </w:rPr>
        <w:t>1、主要税种及税率</w:t>
      </w:r>
      <w:bookmarkEnd w:id="226"/>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税率</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销售商品或提供劳务、有形动产租赁的增值额</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3%、5%、6%、9%、10%、13%、免</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应交流转税额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7%</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15%、16.5%、20%、25%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应交流转税额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地方教育附加</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应交流转税额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存在不同企业所得税税率纳税主体的，披露情况说明</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纳税主体名称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所得税税率</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升华电源</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15%</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沈阳含能</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15%</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沈阳非晶</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15%</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汇德投资</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16.5%</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甘华电源</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proofErr w:type="gramStart"/>
            <w:r>
              <w:rPr>
                <w:rFonts w:ascii="宋体" w:eastAsia="宋体" w:hAnsi="宋体" w:cs="宋体"/>
                <w:sz w:val="18"/>
                <w:szCs w:val="18"/>
              </w:rPr>
              <w:t>甘科物业</w:t>
            </w:r>
            <w:proofErr w:type="gramEnd"/>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升华源</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四川</w:t>
            </w:r>
            <w:proofErr w:type="gramStart"/>
            <w:r>
              <w:rPr>
                <w:rFonts w:ascii="宋体" w:eastAsia="宋体" w:hAnsi="宋体" w:cs="宋体"/>
                <w:sz w:val="18"/>
                <w:szCs w:val="18"/>
              </w:rPr>
              <w:t>德芯源</w:t>
            </w:r>
            <w:proofErr w:type="gramEnd"/>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w:t>
            </w:r>
          </w:p>
        </w:tc>
      </w:tr>
    </w:tbl>
    <w:p w:rsidR="00A27D66" w:rsidRDefault="00A2119D">
      <w:pPr>
        <w:pStyle w:val="3"/>
        <w:spacing w:line="280" w:lineRule="exact"/>
        <w:jc w:val="left"/>
        <w:rPr>
          <w:rFonts w:ascii="宋体" w:hAnsi="宋体" w:cs="宋体"/>
          <w:b/>
          <w:bCs/>
        </w:rPr>
      </w:pPr>
      <w:bookmarkStart w:id="227" w:name="_Toc989111"/>
      <w:r>
        <w:rPr>
          <w:rFonts w:ascii="宋体" w:hAnsi="宋体" w:cs="宋体"/>
          <w:b/>
          <w:bCs/>
        </w:rPr>
        <w:t>2、税收优惠</w:t>
      </w:r>
      <w:bookmarkEnd w:id="227"/>
    </w:p>
    <w:p w:rsidR="00A2119D" w:rsidRPr="00D20A0A" w:rsidRDefault="00A2119D" w:rsidP="00D20A0A">
      <w:pPr>
        <w:pStyle w:val="a3"/>
        <w:spacing w:before="0" w:beforeAutospacing="0" w:after="0" w:afterAutospacing="0" w:line="360" w:lineRule="auto"/>
        <w:ind w:firstLine="420"/>
        <w:jc w:val="both"/>
        <w:divId w:val="808326179"/>
        <w:rPr>
          <w:rFonts w:cs="Times New Roman"/>
          <w:color w:val="000000"/>
          <w:sz w:val="21"/>
          <w:szCs w:val="21"/>
        </w:rPr>
      </w:pPr>
      <w:r>
        <w:rPr>
          <w:rFonts w:cs="Times New Roman" w:hint="eastAsia"/>
          <w:color w:val="000000"/>
          <w:sz w:val="21"/>
          <w:szCs w:val="21"/>
        </w:rPr>
        <w:t>（</w:t>
      </w:r>
      <w:r w:rsidRPr="00D20A0A">
        <w:rPr>
          <w:rFonts w:cs="Times New Roman"/>
          <w:color w:val="000000"/>
          <w:sz w:val="21"/>
          <w:szCs w:val="21"/>
        </w:rPr>
        <w:t>1</w:t>
      </w:r>
      <w:r>
        <w:rPr>
          <w:rFonts w:cs="Times New Roman" w:hint="eastAsia"/>
          <w:color w:val="000000"/>
          <w:sz w:val="21"/>
          <w:szCs w:val="21"/>
        </w:rPr>
        <w:t>）高新技术</w:t>
      </w:r>
      <w:proofErr w:type="gramStart"/>
      <w:r>
        <w:rPr>
          <w:rFonts w:cs="Times New Roman" w:hint="eastAsia"/>
          <w:color w:val="000000"/>
          <w:sz w:val="21"/>
          <w:szCs w:val="21"/>
        </w:rPr>
        <w:t>企业企业</w:t>
      </w:r>
      <w:proofErr w:type="gramEnd"/>
      <w:r>
        <w:rPr>
          <w:rFonts w:cs="Times New Roman" w:hint="eastAsia"/>
          <w:color w:val="000000"/>
          <w:sz w:val="21"/>
          <w:szCs w:val="21"/>
        </w:rPr>
        <w:t>所得税优惠</w:t>
      </w:r>
    </w:p>
    <w:p w:rsidR="00A2119D" w:rsidRPr="00D20A0A" w:rsidRDefault="00A2119D" w:rsidP="00D20A0A">
      <w:pPr>
        <w:pStyle w:val="a3"/>
        <w:spacing w:before="0" w:beforeAutospacing="0" w:after="0" w:afterAutospacing="0" w:line="360" w:lineRule="auto"/>
        <w:ind w:firstLine="420"/>
        <w:jc w:val="both"/>
        <w:divId w:val="808326179"/>
        <w:rPr>
          <w:rFonts w:cs="Times New Roman"/>
          <w:color w:val="000000"/>
          <w:sz w:val="21"/>
          <w:szCs w:val="21"/>
        </w:rPr>
      </w:pPr>
      <w:r>
        <w:rPr>
          <w:rFonts w:cs="Times New Roman" w:hint="eastAsia"/>
          <w:color w:val="000000"/>
          <w:sz w:val="21"/>
          <w:szCs w:val="21"/>
        </w:rPr>
        <w:t>升华电源、沈阳含能及沈阳非晶为高新技术企业，高新技术资格有效期内适用高新技术企业所得税的优惠税率</w:t>
      </w:r>
      <w:r w:rsidRPr="00D20A0A">
        <w:rPr>
          <w:rFonts w:cs="Times New Roman"/>
          <w:color w:val="000000"/>
          <w:sz w:val="21"/>
          <w:szCs w:val="21"/>
        </w:rPr>
        <w:t>15%</w:t>
      </w:r>
      <w:r>
        <w:rPr>
          <w:rFonts w:cs="Times New Roman" w:hint="eastAsia"/>
          <w:color w:val="000000"/>
          <w:sz w:val="21"/>
          <w:szCs w:val="21"/>
        </w:rPr>
        <w:t>。</w:t>
      </w:r>
    </w:p>
    <w:tbl>
      <w:tblPr>
        <w:tblW w:w="5000" w:type="pct"/>
        <w:tblCellMar>
          <w:left w:w="0" w:type="dxa"/>
          <w:right w:w="0" w:type="dxa"/>
        </w:tblCellMar>
        <w:tblLook w:val="04A0" w:firstRow="1" w:lastRow="0" w:firstColumn="1" w:lastColumn="0" w:noHBand="0" w:noVBand="1"/>
      </w:tblPr>
      <w:tblGrid>
        <w:gridCol w:w="2857"/>
        <w:gridCol w:w="2854"/>
        <w:gridCol w:w="3906"/>
      </w:tblGrid>
      <w:tr w:rsidR="00A2119D">
        <w:trPr>
          <w:divId w:val="808326179"/>
          <w:cantSplit/>
          <w:trHeight w:val="397"/>
          <w:tblHeader/>
        </w:trPr>
        <w:tc>
          <w:tcPr>
            <w:tcW w:w="14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rFonts w:ascii="Times New Roman" w:hAnsi="Times New Roman" w:cs="Times New Roman"/>
                <w:sz w:val="21"/>
                <w:szCs w:val="21"/>
              </w:rPr>
            </w:pPr>
            <w:r>
              <w:rPr>
                <w:rFonts w:cs="Times New Roman" w:hint="eastAsia"/>
                <w:snapToGrid w:val="0"/>
                <w:color w:val="000000"/>
                <w:sz w:val="21"/>
                <w:szCs w:val="21"/>
              </w:rPr>
              <w:t>纳税主体</w:t>
            </w:r>
          </w:p>
        </w:tc>
        <w:tc>
          <w:tcPr>
            <w:tcW w:w="14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rFonts w:ascii="Times New Roman" w:hAnsi="Times New Roman" w:cs="Times New Roman"/>
                <w:sz w:val="21"/>
                <w:szCs w:val="21"/>
              </w:rPr>
            </w:pPr>
            <w:r>
              <w:rPr>
                <w:rFonts w:cs="Times New Roman" w:hint="eastAsia"/>
                <w:snapToGrid w:val="0"/>
                <w:color w:val="000000"/>
                <w:sz w:val="21"/>
                <w:szCs w:val="21"/>
              </w:rPr>
              <w:t>证书编号</w:t>
            </w:r>
          </w:p>
        </w:tc>
        <w:tc>
          <w:tcPr>
            <w:tcW w:w="20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rFonts w:ascii="Times New Roman" w:hAnsi="Times New Roman" w:cs="Times New Roman"/>
                <w:sz w:val="21"/>
                <w:szCs w:val="21"/>
              </w:rPr>
            </w:pPr>
            <w:r>
              <w:rPr>
                <w:rFonts w:cs="Times New Roman" w:hint="eastAsia"/>
                <w:snapToGrid w:val="0"/>
                <w:color w:val="000000"/>
                <w:sz w:val="21"/>
                <w:szCs w:val="21"/>
              </w:rPr>
              <w:t>证书有效期</w:t>
            </w:r>
          </w:p>
        </w:tc>
      </w:tr>
      <w:tr w:rsidR="00A2119D">
        <w:trPr>
          <w:divId w:val="808326179"/>
          <w:cantSplit/>
          <w:trHeight w:val="397"/>
        </w:trPr>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sz w:val="21"/>
                <w:szCs w:val="21"/>
              </w:rPr>
            </w:pPr>
            <w:r>
              <w:rPr>
                <w:rFonts w:hint="eastAsia"/>
                <w:snapToGrid w:val="0"/>
                <w:color w:val="000000"/>
                <w:sz w:val="21"/>
                <w:szCs w:val="21"/>
              </w:rPr>
              <w:t>升华电源</w:t>
            </w:r>
          </w:p>
        </w:tc>
        <w:tc>
          <w:tcPr>
            <w:tcW w:w="1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sz w:val="21"/>
                <w:szCs w:val="21"/>
              </w:rPr>
            </w:pPr>
            <w:r>
              <w:rPr>
                <w:rFonts w:ascii="Times New Roman" w:hAnsi="Times New Roman" w:cs="Times New Roman"/>
                <w:snapToGrid w:val="0"/>
                <w:color w:val="000000"/>
                <w:sz w:val="21"/>
                <w:szCs w:val="21"/>
              </w:rPr>
              <w:t>GR202351001353</w:t>
            </w:r>
          </w:p>
        </w:tc>
        <w:tc>
          <w:tcPr>
            <w:tcW w:w="20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sz w:val="21"/>
                <w:szCs w:val="21"/>
              </w:rPr>
            </w:pPr>
            <w:r>
              <w:rPr>
                <w:rFonts w:ascii="Times New Roman" w:hAnsi="Times New Roman" w:cs="Times New Roman"/>
                <w:snapToGrid w:val="0"/>
                <w:color w:val="000000"/>
                <w:sz w:val="21"/>
                <w:szCs w:val="21"/>
              </w:rPr>
              <w:t>2023</w:t>
            </w:r>
            <w:r>
              <w:rPr>
                <w:rFonts w:hint="eastAsia"/>
                <w:snapToGrid w:val="0"/>
                <w:color w:val="000000"/>
                <w:sz w:val="21"/>
                <w:szCs w:val="21"/>
              </w:rPr>
              <w:t>年</w:t>
            </w:r>
            <w:r>
              <w:rPr>
                <w:rFonts w:ascii="Times New Roman" w:hAnsi="Times New Roman" w:cs="Times New Roman"/>
                <w:snapToGrid w:val="0"/>
                <w:color w:val="000000"/>
                <w:sz w:val="21"/>
                <w:szCs w:val="21"/>
              </w:rPr>
              <w:t>-2025</w:t>
            </w:r>
            <w:r>
              <w:rPr>
                <w:rFonts w:hint="eastAsia"/>
                <w:snapToGrid w:val="0"/>
                <w:color w:val="000000"/>
                <w:sz w:val="21"/>
                <w:szCs w:val="21"/>
              </w:rPr>
              <w:t>年</w:t>
            </w:r>
          </w:p>
        </w:tc>
      </w:tr>
      <w:tr w:rsidR="00A2119D">
        <w:trPr>
          <w:divId w:val="808326179"/>
          <w:cantSplit/>
          <w:trHeight w:val="397"/>
        </w:trPr>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sz w:val="21"/>
                <w:szCs w:val="21"/>
              </w:rPr>
            </w:pPr>
            <w:r>
              <w:rPr>
                <w:rFonts w:hint="eastAsia"/>
                <w:snapToGrid w:val="0"/>
                <w:color w:val="000000"/>
                <w:sz w:val="21"/>
                <w:szCs w:val="21"/>
              </w:rPr>
              <w:t>沈阳含能</w:t>
            </w:r>
          </w:p>
        </w:tc>
        <w:tc>
          <w:tcPr>
            <w:tcW w:w="1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rFonts w:ascii="Times New Roman" w:hAnsi="Times New Roman" w:cs="Times New Roman"/>
                <w:sz w:val="21"/>
                <w:szCs w:val="21"/>
              </w:rPr>
            </w:pPr>
            <w:r>
              <w:rPr>
                <w:rFonts w:ascii="Times New Roman" w:hAnsi="Times New Roman" w:cs="Times New Roman"/>
                <w:snapToGrid w:val="0"/>
                <w:color w:val="000000"/>
                <w:sz w:val="21"/>
                <w:szCs w:val="21"/>
              </w:rPr>
              <w:t>GR202321000489</w:t>
            </w:r>
          </w:p>
        </w:tc>
        <w:tc>
          <w:tcPr>
            <w:tcW w:w="20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rFonts w:ascii="Times New Roman" w:hAnsi="Times New Roman" w:cs="Times New Roman"/>
                <w:sz w:val="21"/>
                <w:szCs w:val="21"/>
              </w:rPr>
            </w:pPr>
            <w:r>
              <w:rPr>
                <w:rFonts w:ascii="Times New Roman" w:hAnsi="Times New Roman" w:cs="Times New Roman"/>
                <w:snapToGrid w:val="0"/>
                <w:color w:val="000000"/>
                <w:sz w:val="21"/>
                <w:szCs w:val="21"/>
              </w:rPr>
              <w:t>2023</w:t>
            </w:r>
            <w:r>
              <w:rPr>
                <w:rFonts w:cs="Times New Roman" w:hint="eastAsia"/>
                <w:snapToGrid w:val="0"/>
                <w:color w:val="000000"/>
                <w:sz w:val="21"/>
                <w:szCs w:val="21"/>
              </w:rPr>
              <w:t>年</w:t>
            </w:r>
            <w:r>
              <w:rPr>
                <w:rFonts w:ascii="Times New Roman" w:hAnsi="Times New Roman" w:cs="Times New Roman"/>
                <w:snapToGrid w:val="0"/>
                <w:color w:val="000000"/>
                <w:sz w:val="21"/>
                <w:szCs w:val="21"/>
              </w:rPr>
              <w:t>-2025</w:t>
            </w:r>
            <w:r>
              <w:rPr>
                <w:rFonts w:cs="Times New Roman" w:hint="eastAsia"/>
                <w:snapToGrid w:val="0"/>
                <w:color w:val="000000"/>
                <w:sz w:val="21"/>
                <w:szCs w:val="21"/>
              </w:rPr>
              <w:t>年</w:t>
            </w:r>
          </w:p>
        </w:tc>
      </w:tr>
      <w:tr w:rsidR="00A2119D">
        <w:trPr>
          <w:divId w:val="808326179"/>
          <w:cantSplit/>
          <w:trHeight w:val="397"/>
        </w:trPr>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sz w:val="21"/>
                <w:szCs w:val="21"/>
              </w:rPr>
            </w:pPr>
            <w:r>
              <w:rPr>
                <w:rFonts w:hint="eastAsia"/>
                <w:snapToGrid w:val="0"/>
                <w:color w:val="000000"/>
                <w:sz w:val="21"/>
                <w:szCs w:val="21"/>
              </w:rPr>
              <w:t>沈阳非晶</w:t>
            </w:r>
          </w:p>
        </w:tc>
        <w:tc>
          <w:tcPr>
            <w:tcW w:w="1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rFonts w:ascii="Times New Roman" w:hAnsi="Times New Roman" w:cs="Times New Roman"/>
                <w:sz w:val="21"/>
                <w:szCs w:val="21"/>
              </w:rPr>
            </w:pPr>
            <w:r>
              <w:rPr>
                <w:rFonts w:ascii="Times New Roman" w:hAnsi="Times New Roman" w:cs="Times New Roman"/>
                <w:snapToGrid w:val="0"/>
                <w:color w:val="000000"/>
                <w:sz w:val="21"/>
                <w:szCs w:val="21"/>
              </w:rPr>
              <w:t>GR202221000916</w:t>
            </w:r>
          </w:p>
        </w:tc>
        <w:tc>
          <w:tcPr>
            <w:tcW w:w="20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Default="00A2119D">
            <w:pPr>
              <w:pStyle w:val="a3"/>
              <w:spacing w:before="0" w:beforeAutospacing="0" w:after="0" w:afterAutospacing="0"/>
              <w:jc w:val="center"/>
              <w:rPr>
                <w:rFonts w:ascii="Times New Roman" w:hAnsi="Times New Roman" w:cs="Times New Roman"/>
                <w:sz w:val="21"/>
                <w:szCs w:val="21"/>
              </w:rPr>
            </w:pPr>
            <w:r>
              <w:rPr>
                <w:rFonts w:ascii="Times New Roman" w:hAnsi="Times New Roman" w:cs="Times New Roman"/>
                <w:snapToGrid w:val="0"/>
                <w:color w:val="000000"/>
                <w:sz w:val="21"/>
                <w:szCs w:val="21"/>
              </w:rPr>
              <w:t>2022</w:t>
            </w:r>
            <w:r>
              <w:rPr>
                <w:rFonts w:cs="Times New Roman" w:hint="eastAsia"/>
                <w:snapToGrid w:val="0"/>
                <w:color w:val="000000"/>
                <w:sz w:val="21"/>
                <w:szCs w:val="21"/>
              </w:rPr>
              <w:t>年</w:t>
            </w:r>
            <w:r>
              <w:rPr>
                <w:rFonts w:ascii="Times New Roman" w:hAnsi="Times New Roman" w:cs="Times New Roman"/>
                <w:snapToGrid w:val="0"/>
                <w:color w:val="000000"/>
                <w:sz w:val="21"/>
                <w:szCs w:val="21"/>
              </w:rPr>
              <w:t>-2024</w:t>
            </w:r>
            <w:r>
              <w:rPr>
                <w:rFonts w:cs="Times New Roman" w:hint="eastAsia"/>
                <w:snapToGrid w:val="0"/>
                <w:color w:val="000000"/>
                <w:sz w:val="21"/>
                <w:szCs w:val="21"/>
              </w:rPr>
              <w:t>年</w:t>
            </w:r>
          </w:p>
        </w:tc>
      </w:tr>
    </w:tbl>
    <w:p w:rsidR="00A2119D" w:rsidRPr="00D20A0A" w:rsidRDefault="00A2119D" w:rsidP="00D20A0A">
      <w:pPr>
        <w:pStyle w:val="a3"/>
        <w:spacing w:before="0" w:beforeAutospacing="0" w:after="0" w:afterAutospacing="0" w:line="360" w:lineRule="auto"/>
        <w:ind w:firstLine="420"/>
        <w:jc w:val="both"/>
        <w:divId w:val="808326179"/>
        <w:rPr>
          <w:rFonts w:cs="Times New Roman"/>
          <w:color w:val="000000"/>
          <w:sz w:val="21"/>
          <w:szCs w:val="21"/>
        </w:rPr>
      </w:pPr>
      <w:r>
        <w:rPr>
          <w:rFonts w:cs="Times New Roman" w:hint="eastAsia"/>
          <w:color w:val="000000"/>
          <w:sz w:val="21"/>
          <w:szCs w:val="21"/>
        </w:rPr>
        <w:t>（</w:t>
      </w:r>
      <w:r w:rsidRPr="00D20A0A">
        <w:rPr>
          <w:rFonts w:cs="Times New Roman"/>
          <w:color w:val="000000"/>
          <w:sz w:val="21"/>
          <w:szCs w:val="21"/>
        </w:rPr>
        <w:t>2</w:t>
      </w:r>
      <w:r>
        <w:rPr>
          <w:rFonts w:cs="Times New Roman" w:hint="eastAsia"/>
          <w:color w:val="000000"/>
          <w:sz w:val="21"/>
          <w:szCs w:val="21"/>
        </w:rPr>
        <w:t>）西部大开发企业所得税优惠</w:t>
      </w:r>
    </w:p>
    <w:p w:rsidR="00A2119D" w:rsidRPr="00D20A0A" w:rsidRDefault="00A2119D" w:rsidP="00D20A0A">
      <w:pPr>
        <w:pStyle w:val="a3"/>
        <w:spacing w:before="0" w:beforeAutospacing="0" w:after="0" w:afterAutospacing="0" w:line="360" w:lineRule="auto"/>
        <w:ind w:firstLine="420"/>
        <w:jc w:val="both"/>
        <w:divId w:val="808326179"/>
        <w:rPr>
          <w:rFonts w:cs="Times New Roman"/>
          <w:color w:val="000000"/>
          <w:sz w:val="21"/>
          <w:szCs w:val="21"/>
        </w:rPr>
      </w:pPr>
      <w:r>
        <w:rPr>
          <w:rFonts w:cs="Times New Roman" w:hint="eastAsia"/>
          <w:color w:val="000000"/>
          <w:sz w:val="21"/>
          <w:szCs w:val="21"/>
        </w:rPr>
        <w:t>根据财政部、税务总局、国家发展改革委《关于延续西部大开发企业所得税政策的公告》（</w:t>
      </w:r>
      <w:r w:rsidRPr="00D20A0A">
        <w:rPr>
          <w:rFonts w:cs="Times New Roman"/>
          <w:color w:val="000000"/>
          <w:sz w:val="21"/>
          <w:szCs w:val="21"/>
        </w:rPr>
        <w:t>2020</w:t>
      </w:r>
      <w:r>
        <w:rPr>
          <w:rFonts w:cs="Times New Roman" w:hint="eastAsia"/>
          <w:color w:val="000000"/>
          <w:sz w:val="21"/>
          <w:szCs w:val="21"/>
        </w:rPr>
        <w:t>年第</w:t>
      </w:r>
      <w:r w:rsidRPr="00D20A0A">
        <w:rPr>
          <w:rFonts w:cs="Times New Roman"/>
          <w:color w:val="000000"/>
          <w:sz w:val="21"/>
          <w:szCs w:val="21"/>
        </w:rPr>
        <w:t>23</w:t>
      </w:r>
      <w:r>
        <w:rPr>
          <w:rFonts w:cs="Times New Roman" w:hint="eastAsia"/>
          <w:color w:val="000000"/>
          <w:sz w:val="21"/>
          <w:szCs w:val="21"/>
        </w:rPr>
        <w:t>号），自</w:t>
      </w:r>
      <w:r w:rsidRPr="00D20A0A">
        <w:rPr>
          <w:rFonts w:cs="Times New Roman"/>
          <w:color w:val="000000"/>
          <w:sz w:val="21"/>
          <w:szCs w:val="21"/>
        </w:rPr>
        <w:t>2021</w:t>
      </w:r>
      <w:r>
        <w:rPr>
          <w:rFonts w:cs="Times New Roman" w:hint="eastAsia"/>
          <w:color w:val="000000"/>
          <w:sz w:val="21"/>
          <w:szCs w:val="21"/>
        </w:rPr>
        <w:t>年</w:t>
      </w:r>
      <w:r w:rsidRPr="00D20A0A">
        <w:rPr>
          <w:rFonts w:cs="Times New Roman"/>
          <w:color w:val="000000"/>
          <w:sz w:val="21"/>
          <w:szCs w:val="21"/>
        </w:rPr>
        <w:t>1</w:t>
      </w:r>
      <w:r>
        <w:rPr>
          <w:rFonts w:cs="Times New Roman" w:hint="eastAsia"/>
          <w:color w:val="000000"/>
          <w:sz w:val="21"/>
          <w:szCs w:val="21"/>
        </w:rPr>
        <w:t>月</w:t>
      </w:r>
      <w:r w:rsidRPr="00D20A0A">
        <w:rPr>
          <w:rFonts w:cs="Times New Roman"/>
          <w:color w:val="000000"/>
          <w:sz w:val="21"/>
          <w:szCs w:val="21"/>
        </w:rPr>
        <w:t>1</w:t>
      </w:r>
      <w:r>
        <w:rPr>
          <w:rFonts w:cs="Times New Roman" w:hint="eastAsia"/>
          <w:color w:val="000000"/>
          <w:sz w:val="21"/>
          <w:szCs w:val="21"/>
        </w:rPr>
        <w:t>日至</w:t>
      </w:r>
      <w:r w:rsidRPr="00D20A0A">
        <w:rPr>
          <w:rFonts w:cs="Times New Roman"/>
          <w:color w:val="000000"/>
          <w:sz w:val="21"/>
          <w:szCs w:val="21"/>
        </w:rPr>
        <w:t>2030</w:t>
      </w:r>
      <w:r>
        <w:rPr>
          <w:rFonts w:cs="Times New Roman" w:hint="eastAsia"/>
          <w:color w:val="000000"/>
          <w:sz w:val="21"/>
          <w:szCs w:val="21"/>
        </w:rPr>
        <w:t>年</w:t>
      </w:r>
      <w:r w:rsidRPr="00D20A0A">
        <w:rPr>
          <w:rFonts w:cs="Times New Roman"/>
          <w:color w:val="000000"/>
          <w:sz w:val="21"/>
          <w:szCs w:val="21"/>
        </w:rPr>
        <w:t>12</w:t>
      </w:r>
      <w:r>
        <w:rPr>
          <w:rFonts w:cs="Times New Roman" w:hint="eastAsia"/>
          <w:color w:val="000000"/>
          <w:sz w:val="21"/>
          <w:szCs w:val="21"/>
        </w:rPr>
        <w:t>月</w:t>
      </w:r>
      <w:r w:rsidRPr="00D20A0A">
        <w:rPr>
          <w:rFonts w:cs="Times New Roman"/>
          <w:color w:val="000000"/>
          <w:sz w:val="21"/>
          <w:szCs w:val="21"/>
        </w:rPr>
        <w:t>31</w:t>
      </w:r>
      <w:r>
        <w:rPr>
          <w:rFonts w:cs="Times New Roman" w:hint="eastAsia"/>
          <w:color w:val="000000"/>
          <w:sz w:val="21"/>
          <w:szCs w:val="21"/>
        </w:rPr>
        <w:t>日，对设在西部地区的鼓励类产业企业减按</w:t>
      </w:r>
      <w:r w:rsidRPr="00D20A0A">
        <w:rPr>
          <w:rFonts w:cs="Times New Roman"/>
          <w:color w:val="000000"/>
          <w:sz w:val="21"/>
          <w:szCs w:val="21"/>
        </w:rPr>
        <w:t>15%</w:t>
      </w:r>
      <w:r>
        <w:rPr>
          <w:rFonts w:cs="Times New Roman" w:hint="eastAsia"/>
          <w:color w:val="000000"/>
          <w:sz w:val="21"/>
          <w:szCs w:val="21"/>
        </w:rPr>
        <w:t>的税率征收企业所得税。本条所称鼓励类产业企业是指以《西部地区鼓励类产业目录》中规定的产业项目为主营业务，且其主营业务收入占企业收入总额</w:t>
      </w:r>
      <w:r w:rsidRPr="00D20A0A">
        <w:rPr>
          <w:rFonts w:cs="Times New Roman"/>
          <w:color w:val="000000"/>
          <w:sz w:val="21"/>
          <w:szCs w:val="21"/>
        </w:rPr>
        <w:t>60%</w:t>
      </w:r>
      <w:r>
        <w:rPr>
          <w:rFonts w:cs="Times New Roman" w:hint="eastAsia"/>
          <w:color w:val="000000"/>
          <w:sz w:val="21"/>
          <w:szCs w:val="21"/>
        </w:rPr>
        <w:t>以上的企业，经公司申请，主管税务机关审核确认后，</w:t>
      </w:r>
      <w:r>
        <w:rPr>
          <w:rFonts w:cs="Times New Roman" w:hint="eastAsia"/>
          <w:color w:val="000000"/>
          <w:sz w:val="21"/>
          <w:szCs w:val="21"/>
        </w:rPr>
        <w:lastRenderedPageBreak/>
        <w:t>可减按</w:t>
      </w:r>
      <w:r w:rsidRPr="00D20A0A">
        <w:rPr>
          <w:rFonts w:cs="Times New Roman"/>
          <w:color w:val="000000"/>
          <w:sz w:val="21"/>
          <w:szCs w:val="21"/>
        </w:rPr>
        <w:t>15%</w:t>
      </w:r>
      <w:r>
        <w:rPr>
          <w:rFonts w:cs="Times New Roman" w:hint="eastAsia"/>
          <w:color w:val="000000"/>
          <w:sz w:val="21"/>
          <w:szCs w:val="21"/>
        </w:rPr>
        <w:t>税率缴纳企业所得税。升华电源于</w:t>
      </w:r>
      <w:r w:rsidRPr="00D20A0A">
        <w:rPr>
          <w:rFonts w:cs="Times New Roman"/>
          <w:color w:val="000000"/>
          <w:sz w:val="21"/>
          <w:szCs w:val="21"/>
        </w:rPr>
        <w:t>2014</w:t>
      </w:r>
      <w:r>
        <w:rPr>
          <w:rFonts w:cs="Times New Roman" w:hint="eastAsia"/>
          <w:color w:val="000000"/>
          <w:sz w:val="21"/>
          <w:szCs w:val="21"/>
        </w:rPr>
        <w:t>年</w:t>
      </w:r>
      <w:r w:rsidRPr="00D20A0A">
        <w:rPr>
          <w:rFonts w:cs="Times New Roman"/>
          <w:color w:val="000000"/>
          <w:sz w:val="21"/>
          <w:szCs w:val="21"/>
        </w:rPr>
        <w:t>5</w:t>
      </w:r>
      <w:r>
        <w:rPr>
          <w:rFonts w:cs="Times New Roman" w:hint="eastAsia"/>
          <w:color w:val="000000"/>
          <w:sz w:val="21"/>
          <w:szCs w:val="21"/>
        </w:rPr>
        <w:t>月</w:t>
      </w:r>
      <w:r w:rsidRPr="00D20A0A">
        <w:rPr>
          <w:rFonts w:cs="Times New Roman"/>
          <w:color w:val="000000"/>
          <w:sz w:val="21"/>
          <w:szCs w:val="21"/>
        </w:rPr>
        <w:t>14</w:t>
      </w:r>
      <w:r>
        <w:rPr>
          <w:rFonts w:cs="Times New Roman" w:hint="eastAsia"/>
          <w:color w:val="000000"/>
          <w:sz w:val="21"/>
          <w:szCs w:val="21"/>
        </w:rPr>
        <w:t>日获得成都市成华区国家税务局批准通知书，于</w:t>
      </w:r>
      <w:r w:rsidRPr="00D20A0A">
        <w:rPr>
          <w:rFonts w:cs="Times New Roman"/>
          <w:color w:val="000000"/>
          <w:sz w:val="21"/>
          <w:szCs w:val="21"/>
        </w:rPr>
        <w:t>2013</w:t>
      </w:r>
      <w:r>
        <w:rPr>
          <w:rFonts w:cs="Times New Roman" w:hint="eastAsia"/>
          <w:color w:val="000000"/>
          <w:sz w:val="21"/>
          <w:szCs w:val="21"/>
        </w:rPr>
        <w:t>年度开始享受所得税减免优惠。</w:t>
      </w:r>
    </w:p>
    <w:p w:rsidR="00A2119D" w:rsidRPr="00D20A0A" w:rsidRDefault="00A2119D" w:rsidP="00D20A0A">
      <w:pPr>
        <w:pStyle w:val="a3"/>
        <w:spacing w:before="0" w:beforeAutospacing="0" w:after="0" w:afterAutospacing="0" w:line="360" w:lineRule="auto"/>
        <w:ind w:firstLine="420"/>
        <w:jc w:val="both"/>
        <w:divId w:val="808326179"/>
        <w:rPr>
          <w:rFonts w:cs="Times New Roman"/>
          <w:color w:val="000000"/>
          <w:sz w:val="21"/>
          <w:szCs w:val="21"/>
        </w:rPr>
      </w:pPr>
      <w:r>
        <w:rPr>
          <w:rFonts w:cs="Times New Roman" w:hint="eastAsia"/>
          <w:color w:val="000000"/>
          <w:sz w:val="21"/>
          <w:szCs w:val="21"/>
        </w:rPr>
        <w:t>（</w:t>
      </w:r>
      <w:r w:rsidRPr="00D20A0A">
        <w:rPr>
          <w:rFonts w:cs="Times New Roman"/>
          <w:color w:val="000000"/>
          <w:sz w:val="21"/>
          <w:szCs w:val="21"/>
        </w:rPr>
        <w:t>3</w:t>
      </w:r>
      <w:r>
        <w:rPr>
          <w:rFonts w:cs="Times New Roman" w:hint="eastAsia"/>
          <w:color w:val="000000"/>
          <w:sz w:val="21"/>
          <w:szCs w:val="21"/>
        </w:rPr>
        <w:t>）小</w:t>
      </w:r>
      <w:proofErr w:type="gramStart"/>
      <w:r>
        <w:rPr>
          <w:rFonts w:cs="Times New Roman" w:hint="eastAsia"/>
          <w:color w:val="000000"/>
          <w:sz w:val="21"/>
          <w:szCs w:val="21"/>
        </w:rPr>
        <w:t>微企业</w:t>
      </w:r>
      <w:proofErr w:type="gramEnd"/>
      <w:r>
        <w:rPr>
          <w:rFonts w:cs="Times New Roman" w:hint="eastAsia"/>
          <w:color w:val="000000"/>
          <w:sz w:val="21"/>
          <w:szCs w:val="21"/>
        </w:rPr>
        <w:t>税收优惠</w:t>
      </w:r>
    </w:p>
    <w:p w:rsidR="00A2119D" w:rsidRPr="00D20A0A" w:rsidRDefault="00A2119D" w:rsidP="00D20A0A">
      <w:pPr>
        <w:pStyle w:val="a3"/>
        <w:spacing w:before="0" w:beforeAutospacing="0" w:after="0" w:afterAutospacing="0" w:line="360" w:lineRule="auto"/>
        <w:ind w:firstLine="420"/>
        <w:jc w:val="both"/>
        <w:divId w:val="808326179"/>
        <w:rPr>
          <w:rFonts w:cs="Times New Roman"/>
          <w:color w:val="000000"/>
          <w:sz w:val="21"/>
          <w:szCs w:val="21"/>
        </w:rPr>
      </w:pPr>
      <w:r>
        <w:rPr>
          <w:rFonts w:cs="Times New Roman" w:hint="eastAsia"/>
          <w:color w:val="000000"/>
          <w:sz w:val="21"/>
          <w:szCs w:val="21"/>
        </w:rPr>
        <w:t>根据财政部、税务总局</w:t>
      </w:r>
      <w:r w:rsidRPr="00D20A0A">
        <w:rPr>
          <w:rFonts w:cs="Times New Roman"/>
          <w:color w:val="000000"/>
          <w:sz w:val="21"/>
          <w:szCs w:val="21"/>
        </w:rPr>
        <w:t>2022</w:t>
      </w:r>
      <w:r>
        <w:rPr>
          <w:rFonts w:cs="Times New Roman" w:hint="eastAsia"/>
          <w:color w:val="000000"/>
          <w:sz w:val="21"/>
          <w:szCs w:val="21"/>
        </w:rPr>
        <w:t>年</w:t>
      </w:r>
      <w:r w:rsidRPr="00D20A0A">
        <w:rPr>
          <w:rFonts w:cs="Times New Roman"/>
          <w:color w:val="000000"/>
          <w:sz w:val="21"/>
          <w:szCs w:val="21"/>
        </w:rPr>
        <w:t>3</w:t>
      </w:r>
      <w:r>
        <w:rPr>
          <w:rFonts w:cs="Times New Roman" w:hint="eastAsia"/>
          <w:color w:val="000000"/>
          <w:sz w:val="21"/>
          <w:szCs w:val="21"/>
        </w:rPr>
        <w:t>月</w:t>
      </w:r>
      <w:r w:rsidRPr="00D20A0A">
        <w:rPr>
          <w:rFonts w:cs="Times New Roman"/>
          <w:color w:val="000000"/>
          <w:sz w:val="21"/>
          <w:szCs w:val="21"/>
        </w:rPr>
        <w:t>14</w:t>
      </w:r>
      <w:r>
        <w:rPr>
          <w:rFonts w:cs="Times New Roman" w:hint="eastAsia"/>
          <w:color w:val="000000"/>
          <w:sz w:val="21"/>
          <w:szCs w:val="21"/>
        </w:rPr>
        <w:t>日发布的《关于进一步实施小微企业所得税优惠政策的公告》（财税</w:t>
      </w:r>
      <w:r w:rsidRPr="00D20A0A">
        <w:rPr>
          <w:rFonts w:cs="Times New Roman"/>
          <w:color w:val="000000"/>
          <w:sz w:val="21"/>
          <w:szCs w:val="21"/>
        </w:rPr>
        <w:t>202213</w:t>
      </w:r>
      <w:r>
        <w:rPr>
          <w:rFonts w:cs="Times New Roman" w:hint="eastAsia"/>
          <w:color w:val="000000"/>
          <w:sz w:val="21"/>
          <w:szCs w:val="21"/>
        </w:rPr>
        <w:t>号）规定，自</w:t>
      </w:r>
      <w:r w:rsidRPr="00D20A0A">
        <w:rPr>
          <w:rFonts w:cs="Times New Roman"/>
          <w:color w:val="000000"/>
          <w:sz w:val="21"/>
          <w:szCs w:val="21"/>
        </w:rPr>
        <w:t>2022</w:t>
      </w:r>
      <w:r>
        <w:rPr>
          <w:rFonts w:cs="Times New Roman" w:hint="eastAsia"/>
          <w:color w:val="000000"/>
          <w:sz w:val="21"/>
          <w:szCs w:val="21"/>
        </w:rPr>
        <w:t>年</w:t>
      </w:r>
      <w:r w:rsidRPr="00D20A0A">
        <w:rPr>
          <w:rFonts w:cs="Times New Roman"/>
          <w:color w:val="000000"/>
          <w:sz w:val="21"/>
          <w:szCs w:val="21"/>
        </w:rPr>
        <w:t>1</w:t>
      </w:r>
      <w:r>
        <w:rPr>
          <w:rFonts w:cs="Times New Roman" w:hint="eastAsia"/>
          <w:color w:val="000000"/>
          <w:sz w:val="21"/>
          <w:szCs w:val="21"/>
        </w:rPr>
        <w:t>月</w:t>
      </w:r>
      <w:r w:rsidRPr="00D20A0A">
        <w:rPr>
          <w:rFonts w:cs="Times New Roman"/>
          <w:color w:val="000000"/>
          <w:sz w:val="21"/>
          <w:szCs w:val="21"/>
        </w:rPr>
        <w:t>1</w:t>
      </w:r>
      <w:r>
        <w:rPr>
          <w:rFonts w:cs="Times New Roman" w:hint="eastAsia"/>
          <w:color w:val="000000"/>
          <w:sz w:val="21"/>
          <w:szCs w:val="21"/>
        </w:rPr>
        <w:t>日至</w:t>
      </w:r>
      <w:r w:rsidRPr="00D20A0A">
        <w:rPr>
          <w:rFonts w:cs="Times New Roman"/>
          <w:color w:val="000000"/>
          <w:sz w:val="21"/>
          <w:szCs w:val="21"/>
        </w:rPr>
        <w:t>2024</w:t>
      </w:r>
      <w:r>
        <w:rPr>
          <w:rFonts w:cs="Times New Roman" w:hint="eastAsia"/>
          <w:color w:val="000000"/>
          <w:sz w:val="21"/>
          <w:szCs w:val="21"/>
        </w:rPr>
        <w:t>年</w:t>
      </w:r>
      <w:r w:rsidRPr="00D20A0A">
        <w:rPr>
          <w:rFonts w:cs="Times New Roman"/>
          <w:color w:val="000000"/>
          <w:sz w:val="21"/>
          <w:szCs w:val="21"/>
        </w:rPr>
        <w:t>12</w:t>
      </w:r>
      <w:r>
        <w:rPr>
          <w:rFonts w:cs="Times New Roman" w:hint="eastAsia"/>
          <w:color w:val="000000"/>
          <w:sz w:val="21"/>
          <w:szCs w:val="21"/>
        </w:rPr>
        <w:t>月</w:t>
      </w:r>
      <w:r w:rsidRPr="00D20A0A">
        <w:rPr>
          <w:rFonts w:cs="Times New Roman"/>
          <w:color w:val="000000"/>
          <w:sz w:val="21"/>
          <w:szCs w:val="21"/>
        </w:rPr>
        <w:t>31</w:t>
      </w:r>
      <w:r>
        <w:rPr>
          <w:rFonts w:cs="Times New Roman" w:hint="eastAsia"/>
          <w:color w:val="000000"/>
          <w:sz w:val="21"/>
          <w:szCs w:val="21"/>
        </w:rPr>
        <w:t>日，对年应纳税所得额超过</w:t>
      </w:r>
      <w:r w:rsidRPr="00D20A0A">
        <w:rPr>
          <w:rFonts w:cs="Times New Roman"/>
          <w:color w:val="000000"/>
          <w:sz w:val="21"/>
          <w:szCs w:val="21"/>
        </w:rPr>
        <w:t>100</w:t>
      </w:r>
      <w:r>
        <w:rPr>
          <w:rFonts w:cs="Times New Roman" w:hint="eastAsia"/>
          <w:color w:val="000000"/>
          <w:sz w:val="21"/>
          <w:szCs w:val="21"/>
        </w:rPr>
        <w:t>万元但不超过</w:t>
      </w:r>
      <w:r w:rsidRPr="00D20A0A">
        <w:rPr>
          <w:rFonts w:cs="Times New Roman"/>
          <w:color w:val="000000"/>
          <w:sz w:val="21"/>
          <w:szCs w:val="21"/>
        </w:rPr>
        <w:t>300</w:t>
      </w:r>
      <w:r>
        <w:rPr>
          <w:rFonts w:cs="Times New Roman" w:hint="eastAsia"/>
          <w:color w:val="000000"/>
          <w:sz w:val="21"/>
          <w:szCs w:val="21"/>
        </w:rPr>
        <w:t>万元的部分，减按</w:t>
      </w:r>
      <w:r w:rsidRPr="00D20A0A">
        <w:rPr>
          <w:rFonts w:cs="Times New Roman"/>
          <w:color w:val="000000"/>
          <w:sz w:val="21"/>
          <w:szCs w:val="21"/>
        </w:rPr>
        <w:t>25%</w:t>
      </w:r>
      <w:r>
        <w:rPr>
          <w:rFonts w:cs="Times New Roman" w:hint="eastAsia"/>
          <w:color w:val="000000"/>
          <w:sz w:val="21"/>
          <w:szCs w:val="21"/>
        </w:rPr>
        <w:t>计入应纳税所得额，按</w:t>
      </w:r>
      <w:r w:rsidRPr="00D20A0A">
        <w:rPr>
          <w:rFonts w:cs="Times New Roman"/>
          <w:color w:val="000000"/>
          <w:sz w:val="21"/>
          <w:szCs w:val="21"/>
        </w:rPr>
        <w:t>20%</w:t>
      </w:r>
      <w:r>
        <w:rPr>
          <w:rFonts w:cs="Times New Roman" w:hint="eastAsia"/>
          <w:color w:val="000000"/>
          <w:sz w:val="21"/>
          <w:szCs w:val="21"/>
        </w:rPr>
        <w:t>的税率缴纳企业所得税。根据财政部、税务总局</w:t>
      </w:r>
      <w:r w:rsidRPr="00D20A0A">
        <w:rPr>
          <w:rFonts w:cs="Times New Roman"/>
          <w:color w:val="000000"/>
          <w:sz w:val="21"/>
          <w:szCs w:val="21"/>
        </w:rPr>
        <w:t>2023</w:t>
      </w:r>
      <w:r>
        <w:rPr>
          <w:rFonts w:cs="Times New Roman" w:hint="eastAsia"/>
          <w:color w:val="000000"/>
          <w:sz w:val="21"/>
          <w:szCs w:val="21"/>
        </w:rPr>
        <w:t>年</w:t>
      </w:r>
      <w:r w:rsidRPr="00D20A0A">
        <w:rPr>
          <w:rFonts w:cs="Times New Roman"/>
          <w:color w:val="000000"/>
          <w:sz w:val="21"/>
          <w:szCs w:val="21"/>
        </w:rPr>
        <w:t>3</w:t>
      </w:r>
      <w:r>
        <w:rPr>
          <w:rFonts w:cs="Times New Roman" w:hint="eastAsia"/>
          <w:color w:val="000000"/>
          <w:sz w:val="21"/>
          <w:szCs w:val="21"/>
        </w:rPr>
        <w:t>月</w:t>
      </w:r>
      <w:r w:rsidRPr="00D20A0A">
        <w:rPr>
          <w:rFonts w:cs="Times New Roman"/>
          <w:color w:val="000000"/>
          <w:sz w:val="21"/>
          <w:szCs w:val="21"/>
        </w:rPr>
        <w:t>26</w:t>
      </w:r>
      <w:r>
        <w:rPr>
          <w:rFonts w:cs="Times New Roman" w:hint="eastAsia"/>
          <w:color w:val="000000"/>
          <w:sz w:val="21"/>
          <w:szCs w:val="21"/>
        </w:rPr>
        <w:t>日发布的《关于小微企业和个体工商户所得税优惠政策的公告》（财税</w:t>
      </w:r>
      <w:r w:rsidRPr="00D20A0A">
        <w:rPr>
          <w:rFonts w:cs="Times New Roman"/>
          <w:color w:val="000000"/>
          <w:sz w:val="21"/>
          <w:szCs w:val="21"/>
        </w:rPr>
        <w:t>202306</w:t>
      </w:r>
      <w:r>
        <w:rPr>
          <w:rFonts w:cs="Times New Roman" w:hint="eastAsia"/>
          <w:color w:val="000000"/>
          <w:sz w:val="21"/>
          <w:szCs w:val="21"/>
        </w:rPr>
        <w:t>号）规定，对小型微利企业年应纳税所得额不超过</w:t>
      </w:r>
      <w:r w:rsidRPr="00D20A0A">
        <w:rPr>
          <w:rFonts w:cs="Times New Roman"/>
          <w:color w:val="000000"/>
          <w:sz w:val="21"/>
          <w:szCs w:val="21"/>
        </w:rPr>
        <w:t>100</w:t>
      </w:r>
      <w:r>
        <w:rPr>
          <w:rFonts w:cs="Times New Roman" w:hint="eastAsia"/>
          <w:color w:val="000000"/>
          <w:sz w:val="21"/>
          <w:szCs w:val="21"/>
        </w:rPr>
        <w:t>万元的部分，减按</w:t>
      </w:r>
      <w:r w:rsidRPr="00D20A0A">
        <w:rPr>
          <w:rFonts w:cs="Times New Roman"/>
          <w:color w:val="000000"/>
          <w:sz w:val="21"/>
          <w:szCs w:val="21"/>
        </w:rPr>
        <w:t>25%</w:t>
      </w:r>
      <w:r>
        <w:rPr>
          <w:rFonts w:cs="Times New Roman" w:hint="eastAsia"/>
          <w:color w:val="000000"/>
          <w:sz w:val="21"/>
          <w:szCs w:val="21"/>
        </w:rPr>
        <w:t>计入应纳税所得额，按</w:t>
      </w:r>
      <w:r w:rsidRPr="00D20A0A">
        <w:rPr>
          <w:rFonts w:cs="Times New Roman"/>
          <w:color w:val="000000"/>
          <w:sz w:val="21"/>
          <w:szCs w:val="21"/>
        </w:rPr>
        <w:t>20%</w:t>
      </w:r>
      <w:r>
        <w:rPr>
          <w:rFonts w:cs="Times New Roman" w:hint="eastAsia"/>
          <w:color w:val="000000"/>
          <w:sz w:val="21"/>
          <w:szCs w:val="21"/>
        </w:rPr>
        <w:t>的税率缴纳企业所得税。甘华电源、甘科物业、升华源、四川</w:t>
      </w:r>
      <w:proofErr w:type="gramStart"/>
      <w:r>
        <w:rPr>
          <w:rFonts w:cs="Times New Roman" w:hint="eastAsia"/>
          <w:color w:val="000000"/>
          <w:sz w:val="21"/>
          <w:szCs w:val="21"/>
        </w:rPr>
        <w:t>德芯源</w:t>
      </w:r>
      <w:proofErr w:type="gramEnd"/>
      <w:r>
        <w:rPr>
          <w:rFonts w:cs="Times New Roman" w:hint="eastAsia"/>
          <w:color w:val="000000"/>
          <w:sz w:val="21"/>
          <w:szCs w:val="21"/>
        </w:rPr>
        <w:t>、沈阳超能</w:t>
      </w:r>
      <w:r w:rsidRPr="00D20A0A">
        <w:rPr>
          <w:rFonts w:cs="Times New Roman"/>
          <w:color w:val="000000"/>
          <w:sz w:val="21"/>
          <w:szCs w:val="21"/>
        </w:rPr>
        <w:t>2024</w:t>
      </w:r>
      <w:r>
        <w:rPr>
          <w:rFonts w:cs="Times New Roman" w:hint="eastAsia"/>
          <w:color w:val="000000"/>
          <w:sz w:val="21"/>
          <w:szCs w:val="21"/>
        </w:rPr>
        <w:t>年度享受该税收优惠。</w:t>
      </w:r>
    </w:p>
    <w:p w:rsidR="00A2119D" w:rsidRPr="00D20A0A" w:rsidRDefault="00A2119D" w:rsidP="00D20A0A">
      <w:pPr>
        <w:pStyle w:val="a3"/>
        <w:spacing w:before="0" w:beforeAutospacing="0" w:after="0" w:afterAutospacing="0" w:line="360" w:lineRule="auto"/>
        <w:ind w:firstLine="420"/>
        <w:jc w:val="both"/>
        <w:divId w:val="808326179"/>
        <w:rPr>
          <w:rFonts w:cs="Times New Roman"/>
          <w:color w:val="000000"/>
          <w:sz w:val="21"/>
          <w:szCs w:val="21"/>
        </w:rPr>
      </w:pPr>
      <w:r>
        <w:rPr>
          <w:rFonts w:cs="Times New Roman" w:hint="eastAsia"/>
          <w:color w:val="000000"/>
          <w:sz w:val="21"/>
          <w:szCs w:val="21"/>
        </w:rPr>
        <w:t>（</w:t>
      </w:r>
      <w:r w:rsidRPr="00D20A0A">
        <w:rPr>
          <w:rFonts w:cs="Times New Roman"/>
          <w:color w:val="000000"/>
          <w:sz w:val="21"/>
          <w:szCs w:val="21"/>
        </w:rPr>
        <w:t>4</w:t>
      </w:r>
      <w:r>
        <w:rPr>
          <w:rFonts w:cs="Times New Roman" w:hint="eastAsia"/>
          <w:color w:val="000000"/>
          <w:sz w:val="21"/>
          <w:szCs w:val="21"/>
        </w:rPr>
        <w:t>）研发费用加计扣除优惠</w:t>
      </w:r>
    </w:p>
    <w:p w:rsidR="00A2119D" w:rsidRPr="00D20A0A" w:rsidRDefault="00A2119D" w:rsidP="00D20A0A">
      <w:pPr>
        <w:pStyle w:val="a3"/>
        <w:spacing w:before="0" w:beforeAutospacing="0" w:after="0" w:afterAutospacing="0" w:line="360" w:lineRule="auto"/>
        <w:ind w:firstLine="420"/>
        <w:jc w:val="both"/>
        <w:divId w:val="808326179"/>
        <w:rPr>
          <w:rFonts w:cs="Times New Roman"/>
          <w:color w:val="000000"/>
          <w:sz w:val="21"/>
          <w:szCs w:val="21"/>
        </w:rPr>
      </w:pPr>
      <w:r>
        <w:rPr>
          <w:rFonts w:cs="Times New Roman" w:hint="eastAsia"/>
          <w:color w:val="000000"/>
          <w:sz w:val="21"/>
          <w:szCs w:val="21"/>
        </w:rPr>
        <w:t>根据财政部、税务总局</w:t>
      </w:r>
      <w:r w:rsidRPr="00D20A0A">
        <w:rPr>
          <w:rFonts w:cs="Times New Roman"/>
          <w:color w:val="000000"/>
          <w:sz w:val="21"/>
          <w:szCs w:val="21"/>
        </w:rPr>
        <w:t>2021</w:t>
      </w:r>
      <w:r>
        <w:rPr>
          <w:rFonts w:cs="Times New Roman" w:hint="eastAsia"/>
          <w:color w:val="000000"/>
          <w:sz w:val="21"/>
          <w:szCs w:val="21"/>
        </w:rPr>
        <w:t>年</w:t>
      </w:r>
      <w:r w:rsidRPr="00D20A0A">
        <w:rPr>
          <w:rFonts w:cs="Times New Roman"/>
          <w:color w:val="000000"/>
          <w:sz w:val="21"/>
          <w:szCs w:val="21"/>
        </w:rPr>
        <w:t>3</w:t>
      </w:r>
      <w:r>
        <w:rPr>
          <w:rFonts w:cs="Times New Roman" w:hint="eastAsia"/>
          <w:color w:val="000000"/>
          <w:sz w:val="21"/>
          <w:szCs w:val="21"/>
        </w:rPr>
        <w:t>月</w:t>
      </w:r>
      <w:r w:rsidRPr="00D20A0A">
        <w:rPr>
          <w:rFonts w:cs="Times New Roman"/>
          <w:color w:val="000000"/>
          <w:sz w:val="21"/>
          <w:szCs w:val="21"/>
        </w:rPr>
        <w:t>31</w:t>
      </w:r>
      <w:r>
        <w:rPr>
          <w:rFonts w:cs="Times New Roman" w:hint="eastAsia"/>
          <w:color w:val="000000"/>
          <w:sz w:val="21"/>
          <w:szCs w:val="21"/>
        </w:rPr>
        <w:t>日发布的《关于进一步完善研发费用税前加计扣除政策的公告》（财政部、税务总局公告</w:t>
      </w:r>
      <w:r w:rsidRPr="00D20A0A">
        <w:rPr>
          <w:rFonts w:cs="Times New Roman"/>
          <w:color w:val="000000"/>
          <w:sz w:val="21"/>
          <w:szCs w:val="21"/>
        </w:rPr>
        <w:t>2021</w:t>
      </w:r>
      <w:r>
        <w:rPr>
          <w:rFonts w:cs="Times New Roman" w:hint="eastAsia"/>
          <w:color w:val="000000"/>
          <w:sz w:val="21"/>
          <w:szCs w:val="21"/>
        </w:rPr>
        <w:t>年第</w:t>
      </w:r>
      <w:r w:rsidRPr="00D20A0A">
        <w:rPr>
          <w:rFonts w:cs="Times New Roman"/>
          <w:color w:val="000000"/>
          <w:sz w:val="21"/>
          <w:szCs w:val="21"/>
        </w:rPr>
        <w:t>13</w:t>
      </w:r>
      <w:r>
        <w:rPr>
          <w:rFonts w:cs="Times New Roman" w:hint="eastAsia"/>
          <w:color w:val="000000"/>
          <w:sz w:val="21"/>
          <w:szCs w:val="21"/>
        </w:rPr>
        <w:t>号）规定，制造业企业开展研发活动中实际发生的研发费用，未形成无形资产计入当期损益的，在按规定据实扣除的基础上，自</w:t>
      </w:r>
      <w:r w:rsidRPr="00D20A0A">
        <w:rPr>
          <w:rFonts w:cs="Times New Roman"/>
          <w:color w:val="000000"/>
          <w:sz w:val="21"/>
          <w:szCs w:val="21"/>
        </w:rPr>
        <w:t>2021</w:t>
      </w:r>
      <w:r>
        <w:rPr>
          <w:rFonts w:cs="Times New Roman" w:hint="eastAsia"/>
          <w:color w:val="000000"/>
          <w:sz w:val="21"/>
          <w:szCs w:val="21"/>
        </w:rPr>
        <w:t>年</w:t>
      </w:r>
      <w:r w:rsidRPr="00D20A0A">
        <w:rPr>
          <w:rFonts w:cs="Times New Roman"/>
          <w:color w:val="000000"/>
          <w:sz w:val="21"/>
          <w:szCs w:val="21"/>
        </w:rPr>
        <w:t>1</w:t>
      </w:r>
      <w:r>
        <w:rPr>
          <w:rFonts w:cs="Times New Roman" w:hint="eastAsia"/>
          <w:color w:val="000000"/>
          <w:sz w:val="21"/>
          <w:szCs w:val="21"/>
        </w:rPr>
        <w:t>月</w:t>
      </w:r>
      <w:r w:rsidRPr="00D20A0A">
        <w:rPr>
          <w:rFonts w:cs="Times New Roman"/>
          <w:color w:val="000000"/>
          <w:sz w:val="21"/>
          <w:szCs w:val="21"/>
        </w:rPr>
        <w:t>1</w:t>
      </w:r>
      <w:r>
        <w:rPr>
          <w:rFonts w:cs="Times New Roman" w:hint="eastAsia"/>
          <w:color w:val="000000"/>
          <w:sz w:val="21"/>
          <w:szCs w:val="21"/>
        </w:rPr>
        <w:t>日起，再按照实际发生额的</w:t>
      </w:r>
      <w:r w:rsidRPr="00D20A0A">
        <w:rPr>
          <w:rFonts w:cs="Times New Roman"/>
          <w:color w:val="000000"/>
          <w:sz w:val="21"/>
          <w:szCs w:val="21"/>
        </w:rPr>
        <w:t>100%</w:t>
      </w:r>
      <w:r>
        <w:rPr>
          <w:rFonts w:cs="Times New Roman" w:hint="eastAsia"/>
          <w:color w:val="000000"/>
          <w:sz w:val="21"/>
          <w:szCs w:val="21"/>
        </w:rPr>
        <w:t>在税前加计扣除。根据财政部、税务总局</w:t>
      </w:r>
      <w:r w:rsidRPr="00D20A0A">
        <w:rPr>
          <w:rFonts w:cs="Times New Roman"/>
          <w:color w:val="000000"/>
          <w:sz w:val="21"/>
          <w:szCs w:val="21"/>
        </w:rPr>
        <w:t>2023</w:t>
      </w:r>
      <w:r>
        <w:rPr>
          <w:rFonts w:cs="Times New Roman" w:hint="eastAsia"/>
          <w:color w:val="000000"/>
          <w:sz w:val="21"/>
          <w:szCs w:val="21"/>
        </w:rPr>
        <w:t>年</w:t>
      </w:r>
      <w:r w:rsidRPr="00D20A0A">
        <w:rPr>
          <w:rFonts w:cs="Times New Roman"/>
          <w:color w:val="000000"/>
          <w:sz w:val="21"/>
          <w:szCs w:val="21"/>
        </w:rPr>
        <w:t>3</w:t>
      </w:r>
      <w:r>
        <w:rPr>
          <w:rFonts w:cs="Times New Roman" w:hint="eastAsia"/>
          <w:color w:val="000000"/>
          <w:sz w:val="21"/>
          <w:szCs w:val="21"/>
        </w:rPr>
        <w:t>月</w:t>
      </w:r>
      <w:r w:rsidRPr="00D20A0A">
        <w:rPr>
          <w:rFonts w:cs="Times New Roman"/>
          <w:color w:val="000000"/>
          <w:sz w:val="21"/>
          <w:szCs w:val="21"/>
        </w:rPr>
        <w:t>26</w:t>
      </w:r>
      <w:r>
        <w:rPr>
          <w:rFonts w:cs="Times New Roman" w:hint="eastAsia"/>
          <w:color w:val="000000"/>
          <w:sz w:val="21"/>
          <w:szCs w:val="21"/>
        </w:rPr>
        <w:t>日发布的《关于进一步完善研发费用税前加计扣除政策的公告》（财政部、税务总局公告</w:t>
      </w:r>
      <w:r w:rsidRPr="00D20A0A">
        <w:rPr>
          <w:rFonts w:cs="Times New Roman"/>
          <w:color w:val="000000"/>
          <w:sz w:val="21"/>
          <w:szCs w:val="21"/>
        </w:rPr>
        <w:t>2023</w:t>
      </w:r>
      <w:r>
        <w:rPr>
          <w:rFonts w:cs="Times New Roman" w:hint="eastAsia"/>
          <w:color w:val="000000"/>
          <w:sz w:val="21"/>
          <w:szCs w:val="21"/>
        </w:rPr>
        <w:t>年第</w:t>
      </w:r>
      <w:r w:rsidRPr="00D20A0A">
        <w:rPr>
          <w:rFonts w:cs="Times New Roman"/>
          <w:color w:val="000000"/>
          <w:sz w:val="21"/>
          <w:szCs w:val="21"/>
        </w:rPr>
        <w:t>7</w:t>
      </w:r>
      <w:r>
        <w:rPr>
          <w:rFonts w:cs="Times New Roman" w:hint="eastAsia"/>
          <w:color w:val="000000"/>
          <w:sz w:val="21"/>
          <w:szCs w:val="21"/>
        </w:rPr>
        <w:t>号）规定，企业开展研发活动中实际发生的研发费用，未形成无形资产计入当期损益的，在按规定据实扣除的基础上，自</w:t>
      </w:r>
      <w:r w:rsidRPr="00D20A0A">
        <w:rPr>
          <w:rFonts w:cs="Times New Roman"/>
          <w:color w:val="000000"/>
          <w:sz w:val="21"/>
          <w:szCs w:val="21"/>
        </w:rPr>
        <w:t>2023</w:t>
      </w:r>
      <w:r>
        <w:rPr>
          <w:rFonts w:cs="Times New Roman" w:hint="eastAsia"/>
          <w:color w:val="000000"/>
          <w:sz w:val="21"/>
          <w:szCs w:val="21"/>
        </w:rPr>
        <w:t>年</w:t>
      </w:r>
      <w:r w:rsidRPr="00D20A0A">
        <w:rPr>
          <w:rFonts w:cs="Times New Roman"/>
          <w:color w:val="000000"/>
          <w:sz w:val="21"/>
          <w:szCs w:val="21"/>
        </w:rPr>
        <w:t>1</w:t>
      </w:r>
      <w:r>
        <w:rPr>
          <w:rFonts w:cs="Times New Roman" w:hint="eastAsia"/>
          <w:color w:val="000000"/>
          <w:sz w:val="21"/>
          <w:szCs w:val="21"/>
        </w:rPr>
        <w:t>月</w:t>
      </w:r>
      <w:r w:rsidRPr="00D20A0A">
        <w:rPr>
          <w:rFonts w:cs="Times New Roman"/>
          <w:color w:val="000000"/>
          <w:sz w:val="21"/>
          <w:szCs w:val="21"/>
        </w:rPr>
        <w:t>1</w:t>
      </w:r>
      <w:r>
        <w:rPr>
          <w:rFonts w:cs="Times New Roman" w:hint="eastAsia"/>
          <w:color w:val="000000"/>
          <w:sz w:val="21"/>
          <w:szCs w:val="21"/>
        </w:rPr>
        <w:t>日起，再按照实际发生额的</w:t>
      </w:r>
      <w:r w:rsidRPr="00D20A0A">
        <w:rPr>
          <w:rFonts w:cs="Times New Roman"/>
          <w:color w:val="000000"/>
          <w:sz w:val="21"/>
          <w:szCs w:val="21"/>
        </w:rPr>
        <w:t>100%</w:t>
      </w:r>
      <w:r>
        <w:rPr>
          <w:rFonts w:cs="Times New Roman" w:hint="eastAsia"/>
          <w:color w:val="000000"/>
          <w:sz w:val="21"/>
          <w:szCs w:val="21"/>
        </w:rPr>
        <w:t>在税前加计扣除。升华电源、沈阳含能、沈阳非晶本期与上期享受该税收优惠。</w:t>
      </w:r>
    </w:p>
    <w:p w:rsidR="00A27D66" w:rsidRDefault="00A2119D">
      <w:pPr>
        <w:pStyle w:val="2"/>
        <w:spacing w:before="300" w:after="300" w:line="320" w:lineRule="exact"/>
        <w:rPr>
          <w:rFonts w:ascii="宋体" w:eastAsia="宋体" w:hAnsi="宋体" w:cs="宋体"/>
          <w:b/>
          <w:bCs/>
          <w:sz w:val="24"/>
          <w:szCs w:val="24"/>
        </w:rPr>
      </w:pPr>
      <w:bookmarkStart w:id="228" w:name="_Toc989112"/>
      <w:r>
        <w:rPr>
          <w:rFonts w:ascii="宋体" w:eastAsia="宋体" w:hAnsi="宋体" w:cs="宋体"/>
          <w:b/>
          <w:bCs/>
          <w:sz w:val="24"/>
          <w:szCs w:val="24"/>
        </w:rPr>
        <w:t>七、合并财务报表项目注释</w:t>
      </w:r>
      <w:bookmarkEnd w:id="228"/>
    </w:p>
    <w:p w:rsidR="00A27D66" w:rsidRDefault="00A2119D">
      <w:pPr>
        <w:pStyle w:val="3"/>
        <w:spacing w:line="280" w:lineRule="exact"/>
        <w:jc w:val="left"/>
        <w:rPr>
          <w:rFonts w:ascii="宋体" w:hAnsi="宋体" w:cs="宋体"/>
          <w:b/>
          <w:bCs/>
        </w:rPr>
      </w:pPr>
      <w:bookmarkStart w:id="229" w:name="_Toc989113"/>
      <w:r>
        <w:rPr>
          <w:rFonts w:ascii="宋体" w:hAnsi="宋体" w:cs="宋体"/>
          <w:b/>
          <w:bCs/>
        </w:rPr>
        <w:t>1、货币资金</w:t>
      </w:r>
      <w:bookmarkEnd w:id="229"/>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03AD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3AD1" w:rsidRDefault="00103AD1" w:rsidP="00103AD1">
            <w:pPr>
              <w:spacing w:before="40" w:after="40" w:line="240" w:lineRule="exact"/>
              <w:rPr>
                <w:rFonts w:ascii="宋体" w:eastAsia="宋体" w:hAnsi="宋体" w:cs="宋体"/>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63,485.03</w:t>
            </w:r>
          </w:p>
        </w:tc>
        <w:tc>
          <w:tcPr>
            <w:tcW w:w="3213"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183C56">
              <w:rPr>
                <w:rFonts w:ascii="宋体" w:eastAsia="宋体" w:hAnsi="宋体" w:cs="宋体"/>
                <w:sz w:val="18"/>
                <w:szCs w:val="18"/>
              </w:rPr>
              <w:t>1,781,908.16</w:t>
            </w:r>
          </w:p>
        </w:tc>
      </w:tr>
      <w:tr w:rsidR="00103AD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3AD1" w:rsidRDefault="00103AD1" w:rsidP="00103AD1">
            <w:pPr>
              <w:spacing w:before="40" w:after="40" w:line="240" w:lineRule="exac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124,329,911.17</w:t>
            </w:r>
          </w:p>
        </w:tc>
        <w:tc>
          <w:tcPr>
            <w:tcW w:w="3213"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183C56">
              <w:rPr>
                <w:rFonts w:ascii="宋体" w:eastAsia="宋体" w:hAnsi="宋体" w:cs="宋体"/>
                <w:sz w:val="18"/>
                <w:szCs w:val="18"/>
              </w:rPr>
              <w:t>241,137,343.50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6,862,467.16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6,770,468.96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131,255,863.36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249,689,720.62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其中：存放在境外的款项总额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196,494.94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2,535.63</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A2119D" w:rsidRPr="0020359A" w:rsidRDefault="00A2119D" w:rsidP="0020359A">
      <w:pPr>
        <w:pStyle w:val="a3"/>
        <w:spacing w:before="0" w:beforeAutospacing="0" w:after="0" w:afterAutospacing="0" w:line="360" w:lineRule="auto"/>
        <w:ind w:firstLine="420"/>
        <w:jc w:val="both"/>
        <w:divId w:val="296688645"/>
        <w:rPr>
          <w:rFonts w:cs="Times New Roman"/>
          <w:color w:val="000000"/>
          <w:sz w:val="21"/>
          <w:szCs w:val="21"/>
        </w:rPr>
      </w:pPr>
      <w:r>
        <w:rPr>
          <w:rFonts w:cs="Times New Roman" w:hint="eastAsia"/>
          <w:color w:val="000000"/>
          <w:sz w:val="21"/>
          <w:szCs w:val="21"/>
        </w:rPr>
        <w:t>期末其他货币资金包括票据保证金</w:t>
      </w:r>
      <w:r w:rsidRPr="0020359A">
        <w:rPr>
          <w:rFonts w:cs="Times New Roman"/>
          <w:color w:val="000000"/>
          <w:sz w:val="21"/>
          <w:szCs w:val="21"/>
        </w:rPr>
        <w:t>2,580,642.77</w:t>
      </w:r>
      <w:r>
        <w:rPr>
          <w:rFonts w:cs="Times New Roman" w:hint="eastAsia"/>
          <w:color w:val="000000"/>
          <w:sz w:val="21"/>
          <w:szCs w:val="21"/>
        </w:rPr>
        <w:t>元。除票据保证金之外，期末货币资金中无其他因抵押、质押或冻结等对使用有限制、有潜在回收风险的款项。</w:t>
      </w:r>
    </w:p>
    <w:p w:rsidR="00A27D66" w:rsidRDefault="00A2119D">
      <w:pPr>
        <w:pStyle w:val="3"/>
        <w:spacing w:line="280" w:lineRule="exact"/>
        <w:jc w:val="left"/>
        <w:rPr>
          <w:rFonts w:ascii="宋体" w:hAnsi="宋体" w:cs="宋体"/>
          <w:b/>
          <w:bCs/>
        </w:rPr>
      </w:pPr>
      <w:bookmarkStart w:id="230" w:name="_Toc989114"/>
      <w:r>
        <w:rPr>
          <w:rFonts w:ascii="宋体" w:hAnsi="宋体" w:cs="宋体"/>
          <w:b/>
          <w:bCs/>
        </w:rPr>
        <w:lastRenderedPageBreak/>
        <w:t>2、交易性金融资产</w:t>
      </w:r>
      <w:bookmarkEnd w:id="230"/>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指定以公允价值计量且其变动计入当期损益的金融资产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212,691,865.42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175,511,514.25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212,691,865.42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175,511,514.25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212,691,865.42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175,511,514.25</w:t>
            </w:r>
          </w:p>
        </w:tc>
      </w:tr>
    </w:tbl>
    <w:p w:rsidR="00A27D66" w:rsidRDefault="00A2119D">
      <w:pPr>
        <w:pStyle w:val="3"/>
        <w:spacing w:line="280" w:lineRule="exact"/>
        <w:jc w:val="left"/>
        <w:rPr>
          <w:rFonts w:ascii="宋体" w:hAnsi="宋体" w:cs="宋体"/>
          <w:b/>
          <w:bCs/>
        </w:rPr>
      </w:pPr>
      <w:bookmarkStart w:id="231" w:name="_Toc989115"/>
      <w:r>
        <w:rPr>
          <w:rFonts w:ascii="宋体" w:hAnsi="宋体" w:cs="宋体"/>
          <w:b/>
          <w:bCs/>
        </w:rPr>
        <w:t>3、应收票据</w:t>
      </w:r>
      <w:bookmarkEnd w:id="231"/>
    </w:p>
    <w:p w:rsidR="00A27D66" w:rsidRDefault="00A2119D">
      <w:pPr>
        <w:keepNext/>
        <w:keepLines/>
        <w:spacing w:before="300" w:after="300" w:line="280" w:lineRule="exact"/>
        <w:outlineLvl w:val="3"/>
        <w:rPr>
          <w:rFonts w:ascii="宋体" w:eastAsia="宋体" w:hAnsi="宋体" w:cs="宋体"/>
          <w:b/>
          <w:bCs/>
          <w:szCs w:val="21"/>
        </w:rPr>
      </w:pPr>
      <w:bookmarkStart w:id="232" w:name="_Toc989116"/>
      <w:r>
        <w:rPr>
          <w:rFonts w:ascii="宋体" w:eastAsia="宋体" w:hAnsi="宋体" w:cs="宋体"/>
          <w:b/>
          <w:bCs/>
          <w:szCs w:val="21"/>
        </w:rPr>
        <w:t>（1） 应收票据分类列示</w:t>
      </w:r>
      <w:bookmarkEnd w:id="232"/>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628,675.13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3,891,734.05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102,529,454.42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89,298,836.83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103,158,129.55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93,190,570.88</w:t>
            </w:r>
          </w:p>
        </w:tc>
      </w:tr>
    </w:tbl>
    <w:p w:rsidR="00A27D66" w:rsidRDefault="00A2119D">
      <w:pPr>
        <w:keepNext/>
        <w:keepLines/>
        <w:spacing w:before="300" w:after="300" w:line="280" w:lineRule="exact"/>
        <w:outlineLvl w:val="3"/>
        <w:rPr>
          <w:rFonts w:ascii="宋体" w:eastAsia="宋体" w:hAnsi="宋体" w:cs="宋体"/>
          <w:b/>
          <w:bCs/>
          <w:szCs w:val="21"/>
        </w:rPr>
      </w:pPr>
      <w:bookmarkStart w:id="233" w:name="_Toc989117"/>
      <w:r>
        <w:rPr>
          <w:rFonts w:ascii="宋体" w:eastAsia="宋体" w:hAnsi="宋体" w:cs="宋体"/>
          <w:b/>
          <w:bCs/>
          <w:szCs w:val="21"/>
        </w:rPr>
        <w:t>（2） 按坏账计提方法分类披露</w:t>
      </w:r>
      <w:bookmarkEnd w:id="233"/>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6"/>
        <w:gridCol w:w="877"/>
        <w:gridCol w:w="876"/>
        <w:gridCol w:w="877"/>
        <w:gridCol w:w="876"/>
        <w:gridCol w:w="876"/>
        <w:gridCol w:w="877"/>
        <w:gridCol w:w="876"/>
        <w:gridCol w:w="877"/>
        <w:gridCol w:w="876"/>
      </w:tblGrid>
      <w:tr w:rsidR="00A27D66">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A27D66">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按组合计提坏账准备的应收票据</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112,931,129.60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9,773,000.05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103,158,129.55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99,394,683.40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6,204,112.52</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6.24%</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93,190,570.88</w:t>
            </w:r>
          </w:p>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其中：1.银行承兑汇票</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628,675.13</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0.56%</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628,675.13</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3,891,734.05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3.92%</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3,891,734.05</w:t>
            </w:r>
          </w:p>
        </w:tc>
      </w:tr>
      <w:tr w:rsidR="00A27D66">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      2.商业承兑汇票</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112,302,454.47</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99.44%</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9,773,000.05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102,529,454.42</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95,502,949.35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96.08%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6,204,112.52</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89,298,836.83</w:t>
            </w:r>
          </w:p>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112,931,129.60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9,773,000.05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103,158,129.55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99,394,683.40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6,204,112.52</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6.24%</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93,190,570.88</w:t>
            </w:r>
          </w:p>
        </w:tc>
      </w:tr>
    </w:tbl>
    <w:p w:rsidR="00A27D66" w:rsidRDefault="00A2119D">
      <w:pPr>
        <w:spacing w:line="240" w:lineRule="exact"/>
        <w:rPr>
          <w:rFonts w:ascii="宋体" w:eastAsia="宋体" w:hAnsi="宋体" w:cs="宋体"/>
          <w:sz w:val="18"/>
          <w:szCs w:val="18"/>
        </w:rPr>
      </w:pPr>
      <w:r>
        <w:rPr>
          <w:rFonts w:ascii="宋体" w:eastAsia="宋体" w:hAnsi="宋体" w:cs="宋体"/>
          <w:sz w:val="18"/>
          <w:szCs w:val="18"/>
        </w:rPr>
        <w:t>按组合计提坏账准备：银行承兑汇票</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银行承兑汇票</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628,675.13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628,675.13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A2119D" w:rsidRDefault="00A2119D">
      <w:pPr>
        <w:pStyle w:val="a3"/>
        <w:divId w:val="1975524994"/>
        <w:rPr>
          <w:sz w:val="18"/>
          <w:szCs w:val="18"/>
        </w:rPr>
      </w:pPr>
      <w:r>
        <w:rPr>
          <w:rFonts w:hint="eastAsia"/>
          <w:sz w:val="18"/>
          <w:szCs w:val="18"/>
        </w:rPr>
        <w:t>按组合计提坏账准备的确认标准及说明见</w:t>
      </w:r>
      <w:r w:rsidRPr="0020359A">
        <w:rPr>
          <w:rFonts w:hint="eastAsia"/>
          <w:sz w:val="18"/>
          <w:szCs w:val="18"/>
        </w:rPr>
        <w:t>附注五、11。</w:t>
      </w:r>
    </w:p>
    <w:p w:rsidR="00A27D66" w:rsidRDefault="00A2119D">
      <w:pPr>
        <w:spacing w:line="240" w:lineRule="exact"/>
        <w:rPr>
          <w:rFonts w:ascii="宋体" w:eastAsia="宋体" w:hAnsi="宋体" w:cs="宋体"/>
          <w:sz w:val="18"/>
          <w:szCs w:val="18"/>
        </w:rPr>
      </w:pPr>
      <w:r>
        <w:rPr>
          <w:rFonts w:ascii="宋体" w:eastAsia="宋体" w:hAnsi="宋体" w:cs="宋体"/>
          <w:sz w:val="18"/>
          <w:szCs w:val="18"/>
        </w:rPr>
        <w:t>按组合计提坏账准备：商业承兑汇票</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军工总装</w:t>
            </w:r>
            <w:proofErr w:type="gramStart"/>
            <w:r>
              <w:rPr>
                <w:rFonts w:ascii="宋体" w:eastAsia="宋体" w:hAnsi="宋体" w:cs="宋体"/>
                <w:sz w:val="18"/>
                <w:szCs w:val="18"/>
              </w:rPr>
              <w:t>厂客户</w:t>
            </w:r>
            <w:proofErr w:type="gramEnd"/>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其他客户</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112,302,454.47</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9,773,000.05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8.70%</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112,302,454.47</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9,773,000.05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A2119D" w:rsidRDefault="00A2119D">
      <w:pPr>
        <w:pStyle w:val="a3"/>
        <w:divId w:val="1807042178"/>
        <w:rPr>
          <w:sz w:val="18"/>
          <w:szCs w:val="18"/>
        </w:rPr>
      </w:pPr>
      <w:r>
        <w:rPr>
          <w:rFonts w:hint="eastAsia"/>
          <w:sz w:val="18"/>
          <w:szCs w:val="18"/>
        </w:rPr>
        <w:t>按组合计提坏账准备的确认标准及说明见附注五、11。</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如是按照预期信用损失一般模型计提应收票据坏账准备：</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keepNext/>
        <w:keepLines/>
        <w:spacing w:before="300" w:after="300" w:line="280" w:lineRule="exact"/>
        <w:outlineLvl w:val="3"/>
        <w:rPr>
          <w:rFonts w:ascii="宋体" w:eastAsia="宋体" w:hAnsi="宋体" w:cs="宋体"/>
          <w:b/>
          <w:bCs/>
          <w:szCs w:val="21"/>
        </w:rPr>
      </w:pPr>
      <w:bookmarkStart w:id="234" w:name="_Toc989118"/>
      <w:r>
        <w:rPr>
          <w:rFonts w:ascii="宋体" w:eastAsia="宋体" w:hAnsi="宋体" w:cs="宋体"/>
          <w:b/>
          <w:bCs/>
          <w:szCs w:val="21"/>
        </w:rPr>
        <w:t>（3） 本期计提、收回或转回的坏账准备情况</w:t>
      </w:r>
      <w:bookmarkEnd w:id="234"/>
    </w:p>
    <w:p w:rsidR="00A27D66" w:rsidRDefault="00A2119D">
      <w:pPr>
        <w:spacing w:before="100" w:line="240" w:lineRule="exact"/>
        <w:rPr>
          <w:rFonts w:ascii="宋体" w:eastAsia="宋体" w:hAnsi="宋体" w:cs="宋体"/>
          <w:sz w:val="18"/>
          <w:szCs w:val="18"/>
        </w:rPr>
      </w:pPr>
      <w:r>
        <w:rPr>
          <w:rFonts w:ascii="宋体" w:eastAsia="宋体" w:hAnsi="宋体" w:cs="宋体"/>
          <w:sz w:val="18"/>
          <w:szCs w:val="18"/>
        </w:rPr>
        <w:t>本期计提坏账准备情况：</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A27D66">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商业承兑汇票</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6,204,112.52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3,797,652.33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267,875.55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39,110.75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9,773,000.05</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6,204,112.52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3,797,652.33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267,875.55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39,110.75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9,773,000.05</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其中本期坏账准备收回或转回金额重要的：</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E40E23" w:rsidRDefault="00E40E23" w:rsidP="00E40E23">
      <w:pPr>
        <w:keepNext/>
        <w:keepLines/>
        <w:spacing w:before="300" w:after="300" w:line="280" w:lineRule="exact"/>
        <w:outlineLvl w:val="3"/>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b/>
          <w:bCs/>
          <w:szCs w:val="21"/>
        </w:rPr>
        <w:t>4</w:t>
      </w:r>
      <w:r>
        <w:rPr>
          <w:rFonts w:ascii="宋体" w:eastAsia="宋体" w:hAnsi="宋体" w:cs="宋体" w:hint="eastAsia"/>
          <w:b/>
          <w:bCs/>
          <w:szCs w:val="21"/>
        </w:rPr>
        <w:t>） 期末公司已背书或贴现且在资产负债表日尚未到期的应收票据</w:t>
      </w:r>
    </w:p>
    <w:p w:rsidR="00E40E23" w:rsidRDefault="00E40E23" w:rsidP="00E40E23">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3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2"/>
        <w:gridCol w:w="3212"/>
        <w:gridCol w:w="3212"/>
      </w:tblGrid>
      <w:tr w:rsidR="00E40E23" w:rsidTr="00E40E2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E40E23" w:rsidRDefault="00E40E23">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E40E23" w:rsidRDefault="00E40E23">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E40E23" w:rsidRDefault="00E40E23">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期末未终止确认金额</w:t>
            </w:r>
          </w:p>
        </w:tc>
      </w:tr>
      <w:tr w:rsidR="00E40E23" w:rsidTr="00E40E2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E40E23" w:rsidRDefault="00E40E23">
            <w:pPr>
              <w:spacing w:before="40" w:after="40" w:line="240" w:lineRule="exact"/>
              <w:rPr>
                <w:rFonts w:ascii="宋体" w:eastAsia="宋体" w:hAnsi="宋体" w:cs="宋体"/>
                <w:sz w:val="18"/>
                <w:szCs w:val="18"/>
              </w:rPr>
            </w:pPr>
            <w:r>
              <w:rPr>
                <w:rFonts w:ascii="宋体" w:eastAsia="宋体" w:hAnsi="宋体" w:cs="宋体" w:hint="eastAsia"/>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hideMark/>
          </w:tcPr>
          <w:p w:rsidR="00E40E23" w:rsidRDefault="00E40E23">
            <w:pPr>
              <w:spacing w:line="240" w:lineRule="exact"/>
              <w:jc w:val="right"/>
              <w:rPr>
                <w:rFonts w:ascii="宋体" w:eastAsia="宋体" w:hAnsi="宋体" w:cs="宋体"/>
                <w:sz w:val="18"/>
                <w:szCs w:val="18"/>
              </w:rPr>
            </w:pPr>
            <w:r>
              <w:rPr>
                <w:rFonts w:ascii="宋体" w:eastAsia="宋体" w:hAnsi="宋体" w:cs="宋体" w:hint="eastAsia"/>
                <w:sz w:val="18"/>
                <w:szCs w:val="18"/>
              </w:rPr>
              <w:t>2,000,000.00</w:t>
            </w:r>
          </w:p>
        </w:tc>
        <w:tc>
          <w:tcPr>
            <w:tcW w:w="3213" w:type="dxa"/>
            <w:tcBorders>
              <w:top w:val="single" w:sz="2" w:space="0" w:color="auto"/>
              <w:left w:val="single" w:sz="2" w:space="0" w:color="auto"/>
              <w:bottom w:val="single" w:sz="2" w:space="0" w:color="auto"/>
              <w:right w:val="single" w:sz="2" w:space="0" w:color="auto"/>
            </w:tcBorders>
            <w:vAlign w:val="center"/>
          </w:tcPr>
          <w:p w:rsidR="00E40E23" w:rsidRDefault="00E40E23">
            <w:pPr>
              <w:spacing w:line="240" w:lineRule="exact"/>
              <w:jc w:val="right"/>
              <w:rPr>
                <w:rFonts w:ascii="宋体" w:eastAsia="宋体" w:hAnsi="宋体" w:cs="宋体"/>
                <w:sz w:val="18"/>
                <w:szCs w:val="18"/>
              </w:rPr>
            </w:pPr>
          </w:p>
        </w:tc>
      </w:tr>
      <w:tr w:rsidR="00E40E23" w:rsidTr="00E40E2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E40E23" w:rsidRDefault="00E40E23">
            <w:pPr>
              <w:spacing w:before="40" w:after="40" w:line="240" w:lineRule="exact"/>
              <w:rPr>
                <w:rFonts w:ascii="宋体" w:eastAsia="宋体" w:hAnsi="宋体" w:cs="宋体"/>
                <w:sz w:val="18"/>
                <w:szCs w:val="18"/>
              </w:rPr>
            </w:pPr>
            <w:r>
              <w:rPr>
                <w:rFonts w:ascii="宋体" w:eastAsia="宋体" w:hAnsi="宋体" w:cs="宋体" w:hint="eastAsia"/>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E40E23" w:rsidRDefault="00E40E23">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hideMark/>
          </w:tcPr>
          <w:p w:rsidR="00E40E23" w:rsidRDefault="00E40E23">
            <w:pPr>
              <w:spacing w:line="240" w:lineRule="exact"/>
              <w:jc w:val="right"/>
              <w:rPr>
                <w:rFonts w:ascii="宋体" w:eastAsia="宋体" w:hAnsi="宋体" w:cs="宋体"/>
                <w:sz w:val="18"/>
                <w:szCs w:val="18"/>
              </w:rPr>
            </w:pPr>
            <w:r>
              <w:rPr>
                <w:rFonts w:ascii="宋体" w:eastAsia="宋体" w:hAnsi="宋体" w:cs="宋体" w:hint="eastAsia"/>
                <w:sz w:val="18"/>
                <w:szCs w:val="18"/>
              </w:rPr>
              <w:t>27,200.00</w:t>
            </w:r>
          </w:p>
        </w:tc>
      </w:tr>
      <w:tr w:rsidR="00E40E23" w:rsidTr="00E40E2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E40E23" w:rsidRDefault="00E40E23">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hideMark/>
          </w:tcPr>
          <w:p w:rsidR="00E40E23" w:rsidRDefault="00E40E23">
            <w:pPr>
              <w:spacing w:line="240" w:lineRule="exact"/>
              <w:jc w:val="right"/>
              <w:rPr>
                <w:rFonts w:ascii="宋体" w:eastAsia="宋体" w:hAnsi="宋体" w:cs="宋体"/>
                <w:sz w:val="18"/>
                <w:szCs w:val="18"/>
              </w:rPr>
            </w:pPr>
            <w:r>
              <w:rPr>
                <w:rFonts w:ascii="宋体" w:eastAsia="宋体" w:hAnsi="宋体" w:cs="宋体" w:hint="eastAsia"/>
                <w:sz w:val="18"/>
                <w:szCs w:val="18"/>
              </w:rPr>
              <w:t>2,000,000.00</w:t>
            </w:r>
          </w:p>
        </w:tc>
        <w:tc>
          <w:tcPr>
            <w:tcW w:w="3213" w:type="dxa"/>
            <w:tcBorders>
              <w:top w:val="single" w:sz="2" w:space="0" w:color="auto"/>
              <w:left w:val="single" w:sz="2" w:space="0" w:color="auto"/>
              <w:bottom w:val="single" w:sz="2" w:space="0" w:color="auto"/>
              <w:right w:val="single" w:sz="2" w:space="0" w:color="auto"/>
            </w:tcBorders>
            <w:vAlign w:val="center"/>
            <w:hideMark/>
          </w:tcPr>
          <w:p w:rsidR="00E40E23" w:rsidRDefault="00E40E23">
            <w:pPr>
              <w:spacing w:line="240" w:lineRule="exact"/>
              <w:jc w:val="right"/>
              <w:rPr>
                <w:rFonts w:ascii="宋体" w:eastAsia="宋体" w:hAnsi="宋体" w:cs="宋体"/>
                <w:sz w:val="18"/>
                <w:szCs w:val="18"/>
              </w:rPr>
            </w:pPr>
            <w:r>
              <w:rPr>
                <w:rFonts w:ascii="宋体" w:eastAsia="宋体" w:hAnsi="宋体" w:cs="宋体" w:hint="eastAsia"/>
                <w:sz w:val="18"/>
                <w:szCs w:val="18"/>
              </w:rPr>
              <w:t>27,200.00</w:t>
            </w:r>
          </w:p>
        </w:tc>
      </w:tr>
    </w:tbl>
    <w:p w:rsidR="00E40E23" w:rsidRDefault="00E40E23">
      <w:pPr>
        <w:spacing w:before="100" w:after="100" w:line="240" w:lineRule="exact"/>
        <w:rPr>
          <w:rFonts w:ascii="宋体" w:eastAsia="宋体" w:hAnsi="宋体" w:cs="宋体"/>
          <w:sz w:val="18"/>
          <w:szCs w:val="18"/>
        </w:rPr>
      </w:pPr>
    </w:p>
    <w:p w:rsidR="00A27D66" w:rsidRDefault="00A2119D">
      <w:pPr>
        <w:pStyle w:val="3"/>
        <w:spacing w:line="280" w:lineRule="exact"/>
        <w:jc w:val="left"/>
        <w:rPr>
          <w:rFonts w:ascii="宋体" w:hAnsi="宋体" w:cs="宋体"/>
          <w:b/>
          <w:bCs/>
        </w:rPr>
      </w:pPr>
      <w:bookmarkStart w:id="235" w:name="_Toc989119"/>
      <w:r>
        <w:rPr>
          <w:rFonts w:ascii="宋体" w:hAnsi="宋体" w:cs="宋体"/>
          <w:b/>
          <w:bCs/>
        </w:rPr>
        <w:lastRenderedPageBreak/>
        <w:t>4、应收账款</w:t>
      </w:r>
      <w:bookmarkEnd w:id="235"/>
    </w:p>
    <w:p w:rsidR="00A27D66" w:rsidRDefault="00A2119D">
      <w:pPr>
        <w:keepNext/>
        <w:keepLines/>
        <w:spacing w:before="300" w:after="300" w:line="280" w:lineRule="exact"/>
        <w:outlineLvl w:val="3"/>
        <w:rPr>
          <w:rFonts w:ascii="宋体" w:eastAsia="宋体" w:hAnsi="宋体" w:cs="宋体"/>
          <w:b/>
          <w:bCs/>
          <w:szCs w:val="21"/>
        </w:rPr>
      </w:pPr>
      <w:bookmarkStart w:id="236" w:name="_Toc989120"/>
      <w:r>
        <w:rPr>
          <w:rFonts w:ascii="宋体" w:eastAsia="宋体" w:hAnsi="宋体" w:cs="宋体"/>
          <w:b/>
          <w:bCs/>
          <w:szCs w:val="21"/>
        </w:rPr>
        <w:t xml:space="preserve">（1） </w:t>
      </w:r>
      <w:proofErr w:type="gramStart"/>
      <w:r>
        <w:rPr>
          <w:rFonts w:ascii="宋体" w:eastAsia="宋体" w:hAnsi="宋体" w:cs="宋体"/>
          <w:b/>
          <w:bCs/>
          <w:szCs w:val="21"/>
        </w:rPr>
        <w:t>按账龄</w:t>
      </w:r>
      <w:proofErr w:type="gramEnd"/>
      <w:r>
        <w:rPr>
          <w:rFonts w:ascii="宋体" w:eastAsia="宋体" w:hAnsi="宋体" w:cs="宋体"/>
          <w:b/>
          <w:bCs/>
          <w:szCs w:val="21"/>
        </w:rPr>
        <w:t>披露</w:t>
      </w:r>
      <w:bookmarkEnd w:id="236"/>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215,883,531.08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149,674,738.46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20,369,101.12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12,737,949.31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5,705,785.21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614,950.00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302,134.02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275,184.02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103AD1">
            <w:pPr>
              <w:spacing w:line="240" w:lineRule="exact"/>
              <w:jc w:val="right"/>
              <w:rPr>
                <w:rFonts w:ascii="宋体" w:eastAsia="宋体" w:hAnsi="宋体" w:cs="宋体"/>
                <w:sz w:val="18"/>
                <w:szCs w:val="18"/>
              </w:rPr>
            </w:pPr>
            <w:r w:rsidRPr="00103AD1">
              <w:rPr>
                <w:rFonts w:ascii="宋体" w:eastAsia="宋体" w:hAnsi="宋体" w:cs="宋体" w:hint="eastAsia"/>
                <w:sz w:val="18"/>
                <w:szCs w:val="18"/>
              </w:rPr>
              <w:t>140,950.00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124,800.00</w:t>
            </w:r>
          </w:p>
        </w:tc>
      </w:tr>
      <w:tr w:rsidR="00103AD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3AD1" w:rsidRDefault="00103AD1" w:rsidP="00103AD1">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103AD1" w:rsidRPr="00103AD1" w:rsidRDefault="00103AD1">
            <w:pPr>
              <w:spacing w:line="240" w:lineRule="exact"/>
              <w:jc w:val="right"/>
              <w:rPr>
                <w:rFonts w:ascii="宋体" w:eastAsia="宋体" w:hAnsi="宋体" w:cs="宋体"/>
                <w:sz w:val="18"/>
                <w:szCs w:val="18"/>
              </w:rPr>
            </w:pPr>
            <w:r w:rsidRPr="00103AD1">
              <w:rPr>
                <w:rFonts w:ascii="宋体" w:eastAsia="宋体" w:hAnsi="宋体" w:cs="宋体" w:hint="eastAsia"/>
                <w:sz w:val="18"/>
                <w:szCs w:val="18"/>
              </w:rPr>
              <w:t>10,800.00</w:t>
            </w:r>
          </w:p>
        </w:tc>
        <w:tc>
          <w:tcPr>
            <w:tcW w:w="3213" w:type="dxa"/>
            <w:tcBorders>
              <w:top w:val="single" w:sz="2" w:space="0" w:color="auto"/>
              <w:left w:val="single" w:sz="2" w:space="0" w:color="auto"/>
              <w:bottom w:val="single" w:sz="2" w:space="0" w:color="auto"/>
              <w:right w:val="single" w:sz="2" w:space="0" w:color="auto"/>
            </w:tcBorders>
            <w:vAlign w:val="center"/>
          </w:tcPr>
          <w:p w:rsidR="00103AD1" w:rsidRDefault="00103AD1">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103AD1">
            <w:pPr>
              <w:spacing w:line="240" w:lineRule="exact"/>
              <w:jc w:val="right"/>
              <w:rPr>
                <w:rFonts w:ascii="宋体" w:eastAsia="宋体" w:hAnsi="宋体" w:cs="宋体"/>
                <w:sz w:val="18"/>
                <w:szCs w:val="18"/>
              </w:rPr>
            </w:pPr>
            <w:r w:rsidRPr="00103AD1">
              <w:rPr>
                <w:rFonts w:ascii="宋体" w:eastAsia="宋体" w:hAnsi="宋体" w:cs="宋体" w:hint="eastAsia"/>
                <w:sz w:val="18"/>
                <w:szCs w:val="18"/>
              </w:rPr>
              <w:t>150,384.02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150,384.02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242,260,551.43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163,302,821.79</w:t>
            </w:r>
          </w:p>
        </w:tc>
      </w:tr>
    </w:tbl>
    <w:p w:rsidR="00A27D66" w:rsidRDefault="00A2119D">
      <w:pPr>
        <w:keepNext/>
        <w:keepLines/>
        <w:spacing w:before="300" w:after="300" w:line="280" w:lineRule="exact"/>
        <w:outlineLvl w:val="3"/>
        <w:rPr>
          <w:rFonts w:ascii="宋体" w:eastAsia="宋体" w:hAnsi="宋体" w:cs="宋体"/>
          <w:b/>
          <w:bCs/>
          <w:szCs w:val="21"/>
        </w:rPr>
      </w:pPr>
      <w:bookmarkStart w:id="237" w:name="_Toc989121"/>
      <w:r>
        <w:rPr>
          <w:rFonts w:ascii="宋体" w:eastAsia="宋体" w:hAnsi="宋体" w:cs="宋体"/>
          <w:b/>
          <w:bCs/>
          <w:szCs w:val="21"/>
        </w:rPr>
        <w:t>（2） 按坏账计提方法分类披露</w:t>
      </w:r>
      <w:bookmarkEnd w:id="237"/>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6"/>
        <w:gridCol w:w="877"/>
        <w:gridCol w:w="876"/>
        <w:gridCol w:w="877"/>
        <w:gridCol w:w="876"/>
        <w:gridCol w:w="876"/>
        <w:gridCol w:w="877"/>
        <w:gridCol w:w="876"/>
        <w:gridCol w:w="877"/>
        <w:gridCol w:w="876"/>
      </w:tblGrid>
      <w:tr w:rsidR="00A27D66">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A27D66">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29,865,736.18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12.33%</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2,189,681.23</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7.33%</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27,676,054.95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16,322,265.80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861,523.02</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15,460,742.78</w:t>
            </w:r>
          </w:p>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212,394,815.25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87.67%</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15,448,238.56</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7.27%</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196,946,576.69</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146,980,555.99</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8,738,368.45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5.95%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138,242,187.54</w:t>
            </w:r>
          </w:p>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1.军工总装客户</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10,156,112.00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4.19%</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10,156,112.00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2,375,098.12</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2,375,098.12</w:t>
            </w:r>
          </w:p>
        </w:tc>
      </w:tr>
      <w:tr w:rsidR="00A27D66">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2.其他客户</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202,238,703.25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83.48%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15,448,238.56</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7.64%</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186,790,464.69</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144,605,457.87</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88.55%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8,738,368.45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6.04%</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135,867,089.42</w:t>
            </w:r>
          </w:p>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242,260,551.43</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17,637,919.79</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7.28%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224,622,631.64</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163,302,821.79</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9,599,891.47</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153,702,930.32</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按单项计提坏账准备：客户一</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600"/>
        <w:gridCol w:w="1154"/>
        <w:gridCol w:w="1377"/>
        <w:gridCol w:w="1377"/>
        <w:gridCol w:w="1377"/>
        <w:gridCol w:w="1377"/>
      </w:tblGrid>
      <w:tr w:rsidR="00A27D66">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rsidTr="00745844">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60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15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A27D66" w:rsidTr="00745844">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客户</w:t>
            </w:r>
            <w:proofErr w:type="gramStart"/>
            <w:r>
              <w:rPr>
                <w:rFonts w:ascii="宋体" w:eastAsia="宋体" w:hAnsi="宋体" w:cs="宋体"/>
                <w:sz w:val="18"/>
                <w:szCs w:val="18"/>
              </w:rPr>
              <w:t>一</w:t>
            </w:r>
            <w:proofErr w:type="gramEnd"/>
          </w:p>
        </w:tc>
        <w:tc>
          <w:tcPr>
            <w:tcW w:w="160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16,322,265.80</w:t>
            </w:r>
          </w:p>
        </w:tc>
        <w:tc>
          <w:tcPr>
            <w:tcW w:w="115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861,523.02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29,865,736.1</w:t>
            </w:r>
            <w:r>
              <w:rPr>
                <w:rFonts w:ascii="宋体" w:eastAsia="宋体" w:hAnsi="宋体" w:cs="宋体"/>
                <w:sz w:val="18"/>
                <w:szCs w:val="18"/>
              </w:rPr>
              <w:lastRenderedPageBreak/>
              <w:t>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lastRenderedPageBreak/>
              <w:t>2,189,681.23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7.33%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回款周期长</w:t>
            </w:r>
          </w:p>
        </w:tc>
      </w:tr>
      <w:tr w:rsidR="00A27D66" w:rsidTr="0074584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160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16,322,265.80</w:t>
            </w:r>
          </w:p>
        </w:tc>
        <w:tc>
          <w:tcPr>
            <w:tcW w:w="115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861,523.02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29,865,736.18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2,189,681.23</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按组合计提坏账准备：军工总装客户</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军工总装客户</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10,156,112.00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10,156,112.00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A2119D" w:rsidRDefault="00A2119D">
      <w:pPr>
        <w:pStyle w:val="a3"/>
        <w:divId w:val="247928215"/>
        <w:rPr>
          <w:sz w:val="18"/>
          <w:szCs w:val="18"/>
        </w:rPr>
      </w:pPr>
      <w:r>
        <w:rPr>
          <w:rFonts w:hint="eastAsia"/>
          <w:sz w:val="18"/>
          <w:szCs w:val="18"/>
        </w:rPr>
        <w:t>按组合计提坏账准备的确认标准及说明见附注五、11。</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按组合计提坏账准备：其他客户</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其他客户</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202,238,703.25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15,448,238.56</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7.64%</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202,238,703.25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15,448,238.56</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A2119D" w:rsidRDefault="00A2119D">
      <w:pPr>
        <w:pStyle w:val="a3"/>
        <w:spacing w:after="240" w:afterAutospacing="0"/>
        <w:divId w:val="1440638051"/>
        <w:rPr>
          <w:sz w:val="18"/>
          <w:szCs w:val="18"/>
        </w:rPr>
      </w:pPr>
      <w:r>
        <w:rPr>
          <w:rFonts w:hint="eastAsia"/>
          <w:sz w:val="18"/>
          <w:szCs w:val="18"/>
        </w:rPr>
        <w:t>按组合计提坏账准备的确认标准及说明见附注五、11。</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keepNext/>
        <w:keepLines/>
        <w:spacing w:before="300" w:after="300" w:line="280" w:lineRule="exact"/>
        <w:outlineLvl w:val="3"/>
        <w:rPr>
          <w:rFonts w:ascii="宋体" w:eastAsia="宋体" w:hAnsi="宋体" w:cs="宋体"/>
          <w:b/>
          <w:bCs/>
          <w:szCs w:val="21"/>
        </w:rPr>
      </w:pPr>
      <w:bookmarkStart w:id="238" w:name="_Toc989122"/>
      <w:r>
        <w:rPr>
          <w:rFonts w:ascii="宋体" w:eastAsia="宋体" w:hAnsi="宋体" w:cs="宋体"/>
          <w:b/>
          <w:bCs/>
          <w:szCs w:val="21"/>
        </w:rPr>
        <w:t>（3） 本期计提、收回或转回的坏账准备情况</w:t>
      </w:r>
      <w:bookmarkEnd w:id="238"/>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A27D66">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按单项计提坏账准备</w:t>
            </w:r>
          </w:p>
          <w:p w:rsidR="00A27D66" w:rsidRDefault="00A2119D">
            <w:pPr>
              <w:spacing w:line="240" w:lineRule="exact"/>
              <w:rPr>
                <w:rFonts w:ascii="宋体" w:eastAsia="宋体" w:hAnsi="宋体" w:cs="宋体"/>
                <w:sz w:val="18"/>
                <w:szCs w:val="18"/>
              </w:rPr>
            </w:pPr>
            <w:r>
              <w:rPr>
                <w:rFonts w:ascii="宋体" w:eastAsia="宋体" w:hAnsi="宋体" w:cs="宋体"/>
                <w:sz w:val="18"/>
                <w:szCs w:val="18"/>
              </w:rPr>
              <w:t>的应收账款</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861,523.02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1,328,158.21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2,189,681.23</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按信用风险特征组合</w:t>
            </w:r>
          </w:p>
          <w:p w:rsidR="00A27D66" w:rsidRDefault="00A2119D">
            <w:pPr>
              <w:spacing w:line="240" w:lineRule="exact"/>
              <w:rPr>
                <w:rFonts w:ascii="宋体" w:eastAsia="宋体" w:hAnsi="宋体" w:cs="宋体"/>
                <w:sz w:val="18"/>
                <w:szCs w:val="18"/>
              </w:rPr>
            </w:pPr>
            <w:r>
              <w:rPr>
                <w:rFonts w:ascii="宋体" w:eastAsia="宋体" w:hAnsi="宋体" w:cs="宋体"/>
                <w:sz w:val="18"/>
                <w:szCs w:val="18"/>
              </w:rPr>
              <w:t>计提坏账准备的应收</w:t>
            </w:r>
          </w:p>
          <w:p w:rsidR="00A27D66" w:rsidRDefault="00A2119D">
            <w:pPr>
              <w:spacing w:line="240" w:lineRule="exact"/>
              <w:rPr>
                <w:rFonts w:ascii="宋体" w:eastAsia="宋体" w:hAnsi="宋体" w:cs="宋体"/>
                <w:sz w:val="18"/>
                <w:szCs w:val="18"/>
              </w:rPr>
            </w:pPr>
            <w:r>
              <w:rPr>
                <w:rFonts w:ascii="宋体" w:eastAsia="宋体" w:hAnsi="宋体" w:cs="宋体"/>
                <w:sz w:val="18"/>
                <w:szCs w:val="18"/>
              </w:rPr>
              <w:t>账款</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8,738,368.45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7,178,078.18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572,552.37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104,344.30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15,448,238.56</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9,599,891.47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8,506,236.39</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572,552.37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104,344.30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17,637,919.79</w:t>
            </w:r>
          </w:p>
        </w:tc>
      </w:tr>
    </w:tbl>
    <w:p w:rsidR="00A27D66" w:rsidRDefault="00A2119D">
      <w:pPr>
        <w:keepNext/>
        <w:keepLines/>
        <w:spacing w:before="300" w:after="300" w:line="280" w:lineRule="exact"/>
        <w:outlineLvl w:val="3"/>
        <w:rPr>
          <w:rFonts w:ascii="宋体" w:eastAsia="宋体" w:hAnsi="宋体" w:cs="宋体"/>
          <w:b/>
          <w:bCs/>
          <w:szCs w:val="21"/>
        </w:rPr>
      </w:pPr>
      <w:bookmarkStart w:id="239" w:name="_Toc989123"/>
      <w:r>
        <w:rPr>
          <w:rFonts w:ascii="宋体" w:eastAsia="宋体" w:hAnsi="宋体" w:cs="宋体"/>
          <w:b/>
          <w:bCs/>
          <w:szCs w:val="21"/>
        </w:rPr>
        <w:t>（4） 按欠款方归集的期末余额前五名的应收账款和合同资产情况</w:t>
      </w:r>
      <w:bookmarkEnd w:id="239"/>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A27D66" w:rsidTr="00103A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占应收账款和合同资产期末余额</w:t>
            </w:r>
            <w:r>
              <w:rPr>
                <w:rFonts w:ascii="宋体" w:eastAsia="宋体" w:hAnsi="宋体" w:cs="宋体"/>
                <w:sz w:val="18"/>
                <w:szCs w:val="18"/>
              </w:rPr>
              <w:lastRenderedPageBreak/>
              <w:t>合计数的比例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应收账款坏账准备和合同资产减</w:t>
            </w:r>
            <w:r>
              <w:rPr>
                <w:rFonts w:ascii="宋体" w:eastAsia="宋体" w:hAnsi="宋体" w:cs="宋体"/>
                <w:sz w:val="18"/>
                <w:szCs w:val="18"/>
              </w:rPr>
              <w:lastRenderedPageBreak/>
              <w:t>值准备期末余额</w:t>
            </w:r>
          </w:p>
        </w:tc>
      </w:tr>
      <w:tr w:rsidR="00103AD1" w:rsidTr="00103AD1">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rPr>
                <w:rFonts w:ascii="宋体" w:eastAsia="宋体" w:hAnsi="宋体" w:cs="宋体"/>
                <w:sz w:val="18"/>
                <w:szCs w:val="18"/>
              </w:rPr>
            </w:pPr>
            <w:r>
              <w:rPr>
                <w:rFonts w:ascii="宋体" w:eastAsia="宋体" w:hAnsi="宋体" w:cs="宋体"/>
                <w:sz w:val="18"/>
                <w:szCs w:val="18"/>
              </w:rPr>
              <w:lastRenderedPageBreak/>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62,722,186.00</w:t>
            </w:r>
          </w:p>
        </w:tc>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62,722,186.00</w:t>
            </w: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CE6022">
              <w:rPr>
                <w:rFonts w:ascii="宋体" w:eastAsia="宋体" w:hAnsi="宋体" w:cs="宋体"/>
                <w:sz w:val="18"/>
                <w:szCs w:val="18"/>
              </w:rPr>
              <w:t>25.89</w:t>
            </w:r>
            <w:r>
              <w:rPr>
                <w:rFonts w:ascii="宋体" w:eastAsia="宋体" w:hAnsi="宋体" w:cs="宋体"/>
                <w:sz w:val="18"/>
                <w:szCs w:val="18"/>
              </w:rPr>
              <w:t>%</w:t>
            </w: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3,136,109.30</w:t>
            </w:r>
          </w:p>
        </w:tc>
      </w:tr>
      <w:tr w:rsidR="00103AD1" w:rsidTr="00103AD1">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40,281,362.00</w:t>
            </w:r>
          </w:p>
        </w:tc>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40,281,362.00</w:t>
            </w: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CE6022">
              <w:rPr>
                <w:rFonts w:ascii="宋体" w:eastAsia="宋体" w:hAnsi="宋体" w:cs="宋体"/>
                <w:sz w:val="18"/>
                <w:szCs w:val="18"/>
              </w:rPr>
              <w:t>16.63</w:t>
            </w:r>
            <w:r>
              <w:rPr>
                <w:rFonts w:ascii="宋体" w:eastAsia="宋体" w:hAnsi="宋体" w:cs="宋体"/>
                <w:sz w:val="18"/>
                <w:szCs w:val="18"/>
              </w:rPr>
              <w:t>%</w:t>
            </w: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2,014,068.10</w:t>
            </w:r>
          </w:p>
        </w:tc>
      </w:tr>
      <w:tr w:rsidR="00103AD1" w:rsidTr="00103AD1">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29,865,736.18</w:t>
            </w:r>
          </w:p>
        </w:tc>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29,865,736.18</w:t>
            </w: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CE6022">
              <w:rPr>
                <w:rFonts w:ascii="宋体" w:eastAsia="宋体" w:hAnsi="宋体" w:cs="宋体"/>
                <w:sz w:val="18"/>
                <w:szCs w:val="18"/>
              </w:rPr>
              <w:t>12.33</w:t>
            </w:r>
            <w:r>
              <w:rPr>
                <w:rFonts w:ascii="宋体" w:eastAsia="宋体" w:hAnsi="宋体" w:cs="宋体"/>
                <w:sz w:val="18"/>
                <w:szCs w:val="18"/>
              </w:rPr>
              <w:t>%</w:t>
            </w: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2,189,681.23</w:t>
            </w:r>
          </w:p>
        </w:tc>
      </w:tr>
      <w:tr w:rsidR="00103AD1" w:rsidTr="00103AD1">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9,691,712.00</w:t>
            </w:r>
          </w:p>
        </w:tc>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9,691,712.00</w:t>
            </w: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CE6022">
              <w:rPr>
                <w:rFonts w:ascii="宋体" w:eastAsia="宋体" w:hAnsi="宋体" w:cs="宋体"/>
                <w:sz w:val="18"/>
                <w:szCs w:val="18"/>
              </w:rPr>
              <w:t>4.00</w:t>
            </w:r>
            <w:r>
              <w:rPr>
                <w:rFonts w:ascii="宋体" w:eastAsia="宋体" w:hAnsi="宋体" w:cs="宋体"/>
                <w:sz w:val="18"/>
                <w:szCs w:val="18"/>
              </w:rPr>
              <w:t>%</w:t>
            </w: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p>
        </w:tc>
      </w:tr>
      <w:tr w:rsidR="00103AD1" w:rsidTr="00103AD1">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rPr>
                <w:rFonts w:ascii="宋体" w:eastAsia="宋体" w:hAnsi="宋体" w:cs="宋体"/>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7,902,016.71</w:t>
            </w:r>
          </w:p>
        </w:tc>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7,902,016.71</w:t>
            </w: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CE6022">
              <w:rPr>
                <w:rFonts w:ascii="宋体" w:eastAsia="宋体" w:hAnsi="宋体" w:cs="宋体"/>
                <w:sz w:val="18"/>
                <w:szCs w:val="18"/>
              </w:rPr>
              <w:t>3.26</w:t>
            </w:r>
            <w:r>
              <w:rPr>
                <w:rFonts w:ascii="宋体" w:eastAsia="宋体" w:hAnsi="宋体" w:cs="宋体"/>
                <w:sz w:val="18"/>
                <w:szCs w:val="18"/>
              </w:rPr>
              <w:t>%</w:t>
            </w: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627,993.04</w:t>
            </w:r>
          </w:p>
        </w:tc>
      </w:tr>
      <w:tr w:rsidR="00103AD1" w:rsidTr="00103A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103AD1" w:rsidRDefault="00103AD1" w:rsidP="00103AD1">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150,463,012.89</w:t>
            </w:r>
          </w:p>
        </w:tc>
        <w:tc>
          <w:tcPr>
            <w:tcW w:w="1606"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150,463,012.89</w:t>
            </w: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sidRPr="00CE6022">
              <w:rPr>
                <w:rFonts w:ascii="宋体" w:eastAsia="宋体" w:hAnsi="宋体" w:cs="宋体"/>
                <w:sz w:val="18"/>
                <w:szCs w:val="18"/>
              </w:rPr>
              <w:t>62.11</w:t>
            </w:r>
            <w:r>
              <w:rPr>
                <w:rFonts w:ascii="宋体" w:eastAsia="宋体" w:hAnsi="宋体" w:cs="宋体"/>
                <w:sz w:val="18"/>
                <w:szCs w:val="18"/>
              </w:rPr>
              <w:t>%</w:t>
            </w:r>
          </w:p>
        </w:tc>
        <w:tc>
          <w:tcPr>
            <w:tcW w:w="1607" w:type="dxa"/>
            <w:tcBorders>
              <w:top w:val="single" w:sz="2" w:space="0" w:color="auto"/>
              <w:left w:val="single" w:sz="2" w:space="0" w:color="auto"/>
              <w:bottom w:val="single" w:sz="2" w:space="0" w:color="auto"/>
              <w:right w:val="single" w:sz="2" w:space="0" w:color="auto"/>
            </w:tcBorders>
            <w:vAlign w:val="center"/>
          </w:tcPr>
          <w:p w:rsidR="00103AD1" w:rsidRDefault="00103AD1" w:rsidP="00103AD1">
            <w:pPr>
              <w:spacing w:line="240" w:lineRule="exact"/>
              <w:jc w:val="right"/>
              <w:rPr>
                <w:rFonts w:ascii="宋体" w:eastAsia="宋体" w:hAnsi="宋体" w:cs="宋体"/>
                <w:sz w:val="18"/>
                <w:szCs w:val="18"/>
              </w:rPr>
            </w:pPr>
            <w:r>
              <w:rPr>
                <w:rFonts w:ascii="宋体" w:eastAsia="宋体" w:hAnsi="宋体" w:cs="宋体"/>
                <w:sz w:val="18"/>
                <w:szCs w:val="18"/>
              </w:rPr>
              <w:t>7,967,851.67</w:t>
            </w:r>
          </w:p>
        </w:tc>
      </w:tr>
    </w:tbl>
    <w:p w:rsidR="00A27D66" w:rsidRDefault="00A2119D">
      <w:pPr>
        <w:pStyle w:val="3"/>
        <w:spacing w:line="280" w:lineRule="exact"/>
        <w:jc w:val="left"/>
        <w:rPr>
          <w:rFonts w:ascii="宋体" w:hAnsi="宋体" w:cs="宋体"/>
          <w:b/>
          <w:bCs/>
        </w:rPr>
      </w:pPr>
      <w:bookmarkStart w:id="240" w:name="_Toc989124"/>
      <w:r>
        <w:rPr>
          <w:rFonts w:ascii="宋体" w:hAnsi="宋体" w:cs="宋体"/>
          <w:b/>
          <w:bCs/>
        </w:rPr>
        <w:t>5、其他应收款</w:t>
      </w:r>
      <w:bookmarkEnd w:id="240"/>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3,641,228.77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2,747,792.30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3,641,228.77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2,747,792.30</w:t>
            </w:r>
          </w:p>
        </w:tc>
      </w:tr>
    </w:tbl>
    <w:p w:rsidR="00A27D66" w:rsidRDefault="00A2119D">
      <w:pPr>
        <w:keepNext/>
        <w:keepLines/>
        <w:spacing w:before="300" w:after="300" w:line="280" w:lineRule="exact"/>
        <w:outlineLvl w:val="3"/>
        <w:rPr>
          <w:rFonts w:ascii="宋体" w:eastAsia="宋体" w:hAnsi="宋体" w:cs="宋体"/>
          <w:b/>
          <w:bCs/>
          <w:szCs w:val="21"/>
        </w:rPr>
      </w:pPr>
      <w:bookmarkStart w:id="241" w:name="_Toc989125"/>
      <w:r>
        <w:rPr>
          <w:rFonts w:ascii="宋体" w:eastAsia="宋体" w:hAnsi="宋体" w:cs="宋体"/>
          <w:b/>
          <w:bCs/>
          <w:szCs w:val="21"/>
        </w:rPr>
        <w:t>（1） 其他应收款</w:t>
      </w:r>
      <w:bookmarkEnd w:id="241"/>
    </w:p>
    <w:p w:rsidR="00A27D66" w:rsidRDefault="00A2119D">
      <w:pPr>
        <w:keepNext/>
        <w:keepLines/>
        <w:spacing w:before="300" w:after="300" w:line="280" w:lineRule="exact"/>
        <w:outlineLvl w:val="4"/>
        <w:rPr>
          <w:rFonts w:ascii="宋体" w:eastAsia="宋体" w:hAnsi="宋体" w:cs="宋体"/>
          <w:b/>
          <w:bCs/>
          <w:szCs w:val="21"/>
        </w:rPr>
      </w:pPr>
      <w:bookmarkStart w:id="242" w:name="_Toc989126"/>
      <w:r>
        <w:rPr>
          <w:rFonts w:ascii="宋体" w:eastAsia="宋体" w:hAnsi="宋体" w:cs="宋体"/>
          <w:b/>
          <w:bCs/>
          <w:szCs w:val="21"/>
        </w:rPr>
        <w:t>1） 其他应收款按款项性质分类情况</w:t>
      </w:r>
      <w:bookmarkEnd w:id="242"/>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个人借支备用金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753,408.78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599,715.90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1,577,532.00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1,593,332.00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往来款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27,517,681.04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26,755,284.93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历史遗留款项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4,390,263.55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4,390,263.55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34,238,885.37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33,338,596.38</w:t>
            </w:r>
          </w:p>
        </w:tc>
      </w:tr>
    </w:tbl>
    <w:p w:rsidR="00A27D66" w:rsidRDefault="00A2119D">
      <w:pPr>
        <w:keepNext/>
        <w:keepLines/>
        <w:spacing w:before="300" w:after="300" w:line="280" w:lineRule="exact"/>
        <w:outlineLvl w:val="4"/>
        <w:rPr>
          <w:rFonts w:ascii="宋体" w:eastAsia="宋体" w:hAnsi="宋体" w:cs="宋体"/>
          <w:b/>
          <w:bCs/>
          <w:szCs w:val="21"/>
        </w:rPr>
      </w:pPr>
      <w:bookmarkStart w:id="243" w:name="_Toc989127"/>
      <w:r>
        <w:rPr>
          <w:rFonts w:ascii="宋体" w:eastAsia="宋体" w:hAnsi="宋体" w:cs="宋体"/>
          <w:b/>
          <w:bCs/>
          <w:szCs w:val="21"/>
        </w:rPr>
        <w:t xml:space="preserve">2） </w:t>
      </w:r>
      <w:proofErr w:type="gramStart"/>
      <w:r>
        <w:rPr>
          <w:rFonts w:ascii="宋体" w:eastAsia="宋体" w:hAnsi="宋体" w:cs="宋体"/>
          <w:b/>
          <w:bCs/>
          <w:szCs w:val="21"/>
        </w:rPr>
        <w:t>按账龄</w:t>
      </w:r>
      <w:proofErr w:type="gramEnd"/>
      <w:r>
        <w:rPr>
          <w:rFonts w:ascii="宋体" w:eastAsia="宋体" w:hAnsi="宋体" w:cs="宋体"/>
          <w:b/>
          <w:bCs/>
          <w:szCs w:val="21"/>
        </w:rPr>
        <w:t>披露</w:t>
      </w:r>
      <w:bookmarkEnd w:id="243"/>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2,208,171.69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1,271,391.99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55,000.00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429,522.70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354,332.00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1,278,550.41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31,621,381.68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30,359,131.28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103AD1">
            <w:pPr>
              <w:spacing w:line="240" w:lineRule="exact"/>
              <w:jc w:val="right"/>
              <w:rPr>
                <w:rFonts w:ascii="宋体" w:eastAsia="宋体" w:hAnsi="宋体" w:cs="宋体"/>
                <w:sz w:val="18"/>
                <w:szCs w:val="18"/>
              </w:rPr>
            </w:pPr>
            <w:r w:rsidRPr="00CE6022">
              <w:rPr>
                <w:rFonts w:ascii="宋体" w:eastAsia="宋体" w:hAnsi="宋体" w:cs="宋体"/>
                <w:sz w:val="18"/>
                <w:szCs w:val="18"/>
              </w:rPr>
              <w:t>1,263,250.40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1,202.10</w:t>
            </w:r>
          </w:p>
        </w:tc>
      </w:tr>
      <w:tr w:rsidR="00103AD1">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103AD1" w:rsidRDefault="00103AD1">
            <w:pPr>
              <w:spacing w:before="40" w:after="40" w:line="240" w:lineRule="exact"/>
              <w:ind w:firstLineChars="100" w:firstLine="180"/>
              <w:rPr>
                <w:rFonts w:ascii="宋体" w:eastAsia="宋体" w:hAnsi="宋体" w:cs="宋体"/>
                <w:sz w:val="18"/>
                <w:szCs w:val="18"/>
              </w:rPr>
            </w:pPr>
            <w:r>
              <w:rPr>
                <w:rFonts w:ascii="宋体" w:eastAsia="宋体" w:hAnsi="宋体" w:cs="宋体" w:hint="eastAsia"/>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103AD1" w:rsidRPr="00CE6022" w:rsidRDefault="00103AD1">
            <w:pPr>
              <w:spacing w:line="240" w:lineRule="exact"/>
              <w:jc w:val="right"/>
              <w:rPr>
                <w:rFonts w:ascii="宋体" w:eastAsia="宋体" w:hAnsi="宋体" w:cs="宋体"/>
                <w:sz w:val="18"/>
                <w:szCs w:val="18"/>
              </w:rPr>
            </w:pPr>
            <w:r w:rsidRPr="00103AD1">
              <w:rPr>
                <w:rFonts w:ascii="宋体" w:eastAsia="宋体" w:hAnsi="宋体" w:cs="宋体"/>
                <w:sz w:val="18"/>
                <w:szCs w:val="18"/>
              </w:rPr>
              <w:t>202.10</w:t>
            </w:r>
          </w:p>
        </w:tc>
        <w:tc>
          <w:tcPr>
            <w:tcW w:w="3213" w:type="dxa"/>
            <w:tcBorders>
              <w:top w:val="single" w:sz="2" w:space="0" w:color="auto"/>
              <w:left w:val="single" w:sz="2" w:space="0" w:color="auto"/>
              <w:bottom w:val="single" w:sz="2" w:space="0" w:color="auto"/>
              <w:right w:val="single" w:sz="2" w:space="0" w:color="auto"/>
            </w:tcBorders>
            <w:vAlign w:val="center"/>
          </w:tcPr>
          <w:p w:rsidR="00103AD1" w:rsidRDefault="00103AD1">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103AD1">
            <w:pPr>
              <w:spacing w:line="240" w:lineRule="exact"/>
              <w:jc w:val="right"/>
              <w:rPr>
                <w:rFonts w:ascii="宋体" w:eastAsia="宋体" w:hAnsi="宋体" w:cs="宋体"/>
                <w:sz w:val="18"/>
                <w:szCs w:val="18"/>
              </w:rPr>
            </w:pPr>
            <w:r w:rsidRPr="00CE6022">
              <w:rPr>
                <w:rFonts w:ascii="宋体" w:eastAsia="宋体" w:hAnsi="宋体" w:cs="宋体"/>
                <w:sz w:val="18"/>
                <w:szCs w:val="18"/>
              </w:rPr>
              <w:t>30,357,929.18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30,357,929.18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34,238,885.37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33,338,596.38</w:t>
            </w:r>
          </w:p>
        </w:tc>
      </w:tr>
    </w:tbl>
    <w:p w:rsidR="00A27D66" w:rsidRDefault="00A2119D">
      <w:pPr>
        <w:keepNext/>
        <w:keepLines/>
        <w:spacing w:before="300" w:after="300" w:line="280" w:lineRule="exact"/>
        <w:outlineLvl w:val="4"/>
        <w:rPr>
          <w:rFonts w:ascii="宋体" w:eastAsia="宋体" w:hAnsi="宋体" w:cs="宋体"/>
          <w:b/>
          <w:bCs/>
          <w:szCs w:val="21"/>
        </w:rPr>
      </w:pPr>
      <w:bookmarkStart w:id="244" w:name="_Toc989128"/>
      <w:r>
        <w:rPr>
          <w:rFonts w:ascii="宋体" w:eastAsia="宋体" w:hAnsi="宋体" w:cs="宋体"/>
          <w:b/>
          <w:bCs/>
          <w:szCs w:val="21"/>
        </w:rPr>
        <w:t>3） 按坏账计提方法分类披露</w:t>
      </w:r>
      <w:bookmarkEnd w:id="244"/>
      <w:r w:rsidR="00103AD1">
        <w:rPr>
          <w:rFonts w:ascii="宋体" w:eastAsia="宋体" w:hAnsi="宋体" w:cs="宋体"/>
          <w:b/>
          <w:bCs/>
          <w:szCs w:val="21"/>
        </w:rPr>
        <w:tab/>
      </w:r>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5"/>
        <w:gridCol w:w="876"/>
        <w:gridCol w:w="877"/>
        <w:gridCol w:w="876"/>
        <w:gridCol w:w="877"/>
        <w:gridCol w:w="876"/>
        <w:gridCol w:w="876"/>
        <w:gridCol w:w="877"/>
        <w:gridCol w:w="876"/>
        <w:gridCol w:w="877"/>
        <w:gridCol w:w="876"/>
      </w:tblGrid>
      <w:tr w:rsidR="00A27D66">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w:t>
            </w:r>
            <w:r>
              <w:rPr>
                <w:rFonts w:ascii="宋体" w:eastAsia="宋体" w:hAnsi="宋体" w:cs="宋体"/>
                <w:sz w:val="18"/>
                <w:szCs w:val="18"/>
              </w:rPr>
              <w:lastRenderedPageBreak/>
              <w:t>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w:t>
            </w:r>
            <w:r>
              <w:rPr>
                <w:rFonts w:ascii="宋体" w:eastAsia="宋体" w:hAnsi="宋体" w:cs="宋体"/>
                <w:sz w:val="18"/>
                <w:szCs w:val="18"/>
              </w:rPr>
              <w:lastRenderedPageBreak/>
              <w:t>值</w:t>
            </w:r>
          </w:p>
        </w:tc>
      </w:tr>
      <w:tr w:rsidR="00A27D66">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20,000,777.88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58.42%</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20,000,777.88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20,000,777.88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59.99%</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20,000,777.88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14,238,107.49</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41.58%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10,596,878.72</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74.43%</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3,641,228.77</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13,337,818.50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40.01%</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10,590,026.20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79.40%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2,747,792.30</w:t>
            </w:r>
          </w:p>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 个人借支备用金</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753,408.78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40,313.99</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5.35%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713,094.79</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599,715.90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49,588.26</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8.27%</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550,127.64</w:t>
            </w:r>
          </w:p>
        </w:tc>
      </w:tr>
      <w:tr w:rsidR="00A27D66">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 押金保证金</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1,577,532.00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4.61%</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157,753.20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1,419,778.80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1,593,332.00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4.78%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159,333.20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1,433,998.80</w:t>
            </w:r>
          </w:p>
        </w:tc>
      </w:tr>
      <w:tr w:rsidR="00A27D66">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3. 往来款</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8,613,356.61</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25.16%</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7,105,001.43</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82.49%</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1,508,355.18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7,850,960.50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23.55%</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7,087,294.64</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90.27%</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763,665.86</w:t>
            </w:r>
          </w:p>
        </w:tc>
      </w:tr>
      <w:tr w:rsidR="00A27D66">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4.历史遗留款项</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3,293,810.10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9.62%</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3,293,810.10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3,293,810.10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9.88%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3,293,810.10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34,238,885.37</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30,597,656.60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89.37%</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3,641,228.77</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33,338,596.38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30,590,804.08</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91.76%</w:t>
            </w:r>
          </w:p>
        </w:tc>
        <w:tc>
          <w:tcPr>
            <w:tcW w:w="8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2,747,792.30</w:t>
            </w:r>
          </w:p>
        </w:tc>
      </w:tr>
    </w:tbl>
    <w:p w:rsidR="00A27D66" w:rsidRDefault="00A2119D">
      <w:pPr>
        <w:spacing w:line="240" w:lineRule="exact"/>
        <w:rPr>
          <w:rFonts w:ascii="宋体" w:eastAsia="宋体" w:hAnsi="宋体" w:cs="宋体"/>
          <w:sz w:val="18"/>
          <w:szCs w:val="18"/>
        </w:rPr>
      </w:pPr>
      <w:r>
        <w:rPr>
          <w:rFonts w:ascii="宋体" w:eastAsia="宋体" w:hAnsi="宋体" w:cs="宋体"/>
          <w:sz w:val="18"/>
          <w:szCs w:val="18"/>
        </w:rPr>
        <w:t>按单项计提坏账准备：</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A27D66">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1.银行休眠账户</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1,096,453.45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1,096,453.45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1,096,453.45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1,096,453.45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Pr="009910CC" w:rsidRDefault="00A2119D">
            <w:pPr>
              <w:spacing w:line="240" w:lineRule="exact"/>
              <w:rPr>
                <w:rFonts w:ascii="宋体" w:eastAsia="宋体" w:hAnsi="宋体" w:cs="宋体"/>
                <w:sz w:val="18"/>
                <w:szCs w:val="18"/>
              </w:rPr>
            </w:pPr>
            <w:r w:rsidRPr="009910CC">
              <w:rPr>
                <w:rFonts w:ascii="宋体" w:eastAsia="宋体" w:hAnsi="宋体" w:cs="宋体"/>
                <w:sz w:val="18"/>
                <w:szCs w:val="18"/>
              </w:rPr>
              <w:t>2.江门机械厂</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18,904,324.43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18,904,324.43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18,904,324.43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18,904,324.43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20,000,777.88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20,000,777.88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20,000,777.88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20,000,777.88</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spacing w:line="240" w:lineRule="exact"/>
        <w:rPr>
          <w:rFonts w:ascii="宋体" w:eastAsia="宋体" w:hAnsi="宋体" w:cs="宋体"/>
          <w:sz w:val="18"/>
          <w:szCs w:val="18"/>
        </w:rPr>
      </w:pPr>
      <w:r>
        <w:rPr>
          <w:rFonts w:ascii="宋体" w:eastAsia="宋体" w:hAnsi="宋体" w:cs="宋体"/>
          <w:sz w:val="18"/>
          <w:szCs w:val="18"/>
        </w:rPr>
        <w:t>按组合计提坏账准备：</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1.个人借支备用金</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753,408.78</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40,313.99</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5.35%</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2.押金保证金</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1,577,532.00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157,753.20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3.往来款</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8,613,356.61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7,105,001.43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82.49%</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4.历史遗留款项</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3,293,810.10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3,293,810.10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14,238,107.49</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10,596,878.72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A2119D" w:rsidRDefault="00A2119D">
      <w:pPr>
        <w:pStyle w:val="a3"/>
        <w:divId w:val="1480147315"/>
        <w:rPr>
          <w:sz w:val="18"/>
          <w:szCs w:val="18"/>
        </w:rPr>
      </w:pPr>
      <w:r>
        <w:rPr>
          <w:rFonts w:hint="eastAsia"/>
          <w:sz w:val="18"/>
          <w:szCs w:val="18"/>
        </w:rPr>
        <w:t>按组合计提坏账准备的确认标准及说明见附注五、11。</w:t>
      </w:r>
    </w:p>
    <w:p w:rsidR="00A27D66" w:rsidRDefault="00A2119D">
      <w:pPr>
        <w:spacing w:line="240" w:lineRule="exact"/>
        <w:rPr>
          <w:rFonts w:ascii="宋体" w:eastAsia="宋体" w:hAnsi="宋体" w:cs="宋体"/>
          <w:sz w:val="18"/>
          <w:szCs w:val="18"/>
        </w:rPr>
      </w:pPr>
      <w:r>
        <w:rPr>
          <w:rFonts w:ascii="宋体" w:eastAsia="宋体" w:hAnsi="宋体" w:cs="宋体"/>
          <w:sz w:val="18"/>
          <w:szCs w:val="18"/>
        </w:rPr>
        <w:t>按预期信用损失一般模型计提坏账准备：</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A27D66">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未来12个月预期信用</w:t>
            </w:r>
            <w:r>
              <w:rPr>
                <w:rFonts w:ascii="宋体" w:eastAsia="宋体" w:hAnsi="宋体" w:cs="宋体"/>
                <w:sz w:val="18"/>
                <w:szCs w:val="18"/>
              </w:rPr>
              <w:lastRenderedPageBreak/>
              <w:t>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整个存续期预期信用</w:t>
            </w:r>
            <w:r>
              <w:rPr>
                <w:rFonts w:ascii="宋体" w:eastAsia="宋体" w:hAnsi="宋体" w:cs="宋体"/>
                <w:sz w:val="18"/>
                <w:szCs w:val="18"/>
              </w:rPr>
              <w:lastRenderedPageBreak/>
              <w:t>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整个存续期预期信用</w:t>
            </w:r>
            <w:r>
              <w:rPr>
                <w:rFonts w:ascii="宋体" w:eastAsia="宋体" w:hAnsi="宋体" w:cs="宋体"/>
                <w:sz w:val="18"/>
                <w:szCs w:val="18"/>
              </w:rPr>
              <w:lastRenderedPageBreak/>
              <w:t>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2024年1月1日余额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7,296,216.10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23,294,587.98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30,590,804.08</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2024年1月1日余额在本期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52,588.21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52,588.21</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68,053.24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68,053.24</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其他变动</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22,317.55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22,317.55</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2024年12月31日余额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7,303,068.62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23,294,587.98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30,597,656.60</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各阶段划分依据和坏账准备计提比例</w:t>
      </w:r>
    </w:p>
    <w:p w:rsidR="00A2119D" w:rsidRDefault="00A2119D">
      <w:pPr>
        <w:pStyle w:val="a3"/>
        <w:divId w:val="2128618783"/>
        <w:rPr>
          <w:sz w:val="18"/>
          <w:szCs w:val="18"/>
        </w:rPr>
      </w:pPr>
      <w:r>
        <w:rPr>
          <w:rFonts w:hint="eastAsia"/>
          <w:sz w:val="18"/>
          <w:szCs w:val="18"/>
        </w:rPr>
        <w:t>将历史遗留款项划分为第三阶段；其余划分为第一阶段。</w:t>
      </w:r>
      <w:r>
        <w:rPr>
          <w:rFonts w:hint="eastAsia"/>
          <w:sz w:val="18"/>
          <w:szCs w:val="18"/>
        </w:rPr>
        <w:br/>
        <w:t>按组合计提坏账准备的确认标准及说明见附注五、11。</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损失准备本期变动金额重大的账面余额变动情况</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keepNext/>
        <w:keepLines/>
        <w:spacing w:before="300" w:after="300" w:line="280" w:lineRule="exact"/>
        <w:outlineLvl w:val="4"/>
        <w:rPr>
          <w:rFonts w:ascii="宋体" w:eastAsia="宋体" w:hAnsi="宋体" w:cs="宋体"/>
          <w:b/>
          <w:bCs/>
          <w:szCs w:val="21"/>
        </w:rPr>
      </w:pPr>
      <w:bookmarkStart w:id="245" w:name="_Toc989129"/>
      <w:r>
        <w:rPr>
          <w:rFonts w:ascii="宋体" w:eastAsia="宋体" w:hAnsi="宋体" w:cs="宋体"/>
          <w:b/>
          <w:bCs/>
          <w:szCs w:val="21"/>
        </w:rPr>
        <w:t>4） 本期计提、收回或转回的坏账准备情况</w:t>
      </w:r>
      <w:bookmarkEnd w:id="245"/>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A27D66">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30,590,804.08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52,588.21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68,053.24</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22,317.55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30,597,656.60</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30,590,804.08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52,588.21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68,053.24</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22,317.55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30,597,656.60</w:t>
            </w:r>
          </w:p>
        </w:tc>
      </w:tr>
    </w:tbl>
    <w:p w:rsidR="00A2119D" w:rsidRDefault="00A2119D">
      <w:pPr>
        <w:pStyle w:val="a3"/>
        <w:divId w:val="806243701"/>
        <w:rPr>
          <w:sz w:val="18"/>
          <w:szCs w:val="18"/>
        </w:rPr>
      </w:pPr>
      <w:r>
        <w:rPr>
          <w:rFonts w:hint="eastAsia"/>
          <w:sz w:val="18"/>
          <w:szCs w:val="18"/>
        </w:rPr>
        <w:t>按组合计提坏账准备的确认标准及说明见附注五、11。</w:t>
      </w:r>
    </w:p>
    <w:p w:rsidR="00A27D66" w:rsidRDefault="00A2119D">
      <w:pPr>
        <w:keepNext/>
        <w:keepLines/>
        <w:spacing w:before="300" w:after="300" w:line="280" w:lineRule="exact"/>
        <w:outlineLvl w:val="4"/>
        <w:rPr>
          <w:rFonts w:ascii="宋体" w:eastAsia="宋体" w:hAnsi="宋体" w:cs="宋体"/>
          <w:b/>
          <w:bCs/>
          <w:szCs w:val="21"/>
        </w:rPr>
      </w:pPr>
      <w:bookmarkStart w:id="246" w:name="_Toc989130"/>
      <w:r>
        <w:rPr>
          <w:rFonts w:ascii="宋体" w:eastAsia="宋体" w:hAnsi="宋体" w:cs="宋体"/>
          <w:b/>
          <w:bCs/>
          <w:szCs w:val="21"/>
        </w:rPr>
        <w:t>5） 按欠款方归集的期末余额前五名的其他应收款情况</w:t>
      </w:r>
      <w:bookmarkEnd w:id="246"/>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A27D6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A27D6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18,904,324.43</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55.21%</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18,904,324.43</w:t>
            </w:r>
          </w:p>
        </w:tc>
      </w:tr>
      <w:tr w:rsidR="00A27D6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7,062,300.00</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20.63%</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7,062,300.00</w:t>
            </w:r>
          </w:p>
        </w:tc>
      </w:tr>
      <w:tr w:rsidR="00A27D6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押金保证金</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1,260,000.00</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2-3年</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3.68%</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126,000.00</w:t>
            </w:r>
          </w:p>
        </w:tc>
      </w:tr>
      <w:tr w:rsidR="00A27D6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历史</w:t>
            </w:r>
            <w:proofErr w:type="gramStart"/>
            <w:r>
              <w:rPr>
                <w:rFonts w:ascii="宋体" w:eastAsia="宋体" w:hAnsi="宋体" w:cs="宋体"/>
                <w:sz w:val="18"/>
                <w:szCs w:val="18"/>
              </w:rPr>
              <w:t>遗留款</w:t>
            </w:r>
            <w:proofErr w:type="gramEnd"/>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1,096,453.45</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3.20%</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1,096,453.45</w:t>
            </w:r>
          </w:p>
        </w:tc>
      </w:tr>
      <w:tr w:rsidR="00A27D6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历史</w:t>
            </w:r>
            <w:proofErr w:type="gramStart"/>
            <w:r>
              <w:rPr>
                <w:rFonts w:ascii="宋体" w:eastAsia="宋体" w:hAnsi="宋体" w:cs="宋体"/>
                <w:sz w:val="18"/>
                <w:szCs w:val="18"/>
              </w:rPr>
              <w:t>遗留款</w:t>
            </w:r>
            <w:proofErr w:type="gramEnd"/>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626,267.42</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1.83%</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626,267.42</w:t>
            </w:r>
          </w:p>
        </w:tc>
      </w:tr>
      <w:tr w:rsidR="00A27D6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28,949,345.30</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84.55%</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27,815,345.30</w:t>
            </w:r>
          </w:p>
        </w:tc>
      </w:tr>
    </w:tbl>
    <w:p w:rsidR="00A27D66" w:rsidRDefault="00A2119D">
      <w:pPr>
        <w:pStyle w:val="3"/>
        <w:spacing w:line="280" w:lineRule="exact"/>
        <w:jc w:val="left"/>
        <w:rPr>
          <w:rFonts w:ascii="宋体" w:hAnsi="宋体" w:cs="宋体"/>
          <w:b/>
          <w:bCs/>
        </w:rPr>
      </w:pPr>
      <w:bookmarkStart w:id="247" w:name="_Toc989131"/>
      <w:r>
        <w:rPr>
          <w:rFonts w:ascii="宋体" w:hAnsi="宋体" w:cs="宋体"/>
          <w:b/>
          <w:bCs/>
        </w:rPr>
        <w:lastRenderedPageBreak/>
        <w:t>6、预付款项</w:t>
      </w:r>
      <w:bookmarkEnd w:id="247"/>
    </w:p>
    <w:p w:rsidR="00A27D66" w:rsidRDefault="00A2119D">
      <w:pPr>
        <w:keepNext/>
        <w:keepLines/>
        <w:spacing w:before="300" w:after="300" w:line="280" w:lineRule="exact"/>
        <w:outlineLvl w:val="3"/>
        <w:rPr>
          <w:rFonts w:ascii="宋体" w:eastAsia="宋体" w:hAnsi="宋体" w:cs="宋体"/>
          <w:b/>
          <w:bCs/>
          <w:szCs w:val="21"/>
        </w:rPr>
      </w:pPr>
      <w:bookmarkStart w:id="248" w:name="_Toc989132"/>
      <w:r>
        <w:rPr>
          <w:rFonts w:ascii="宋体" w:eastAsia="宋体" w:hAnsi="宋体" w:cs="宋体"/>
          <w:b/>
          <w:bCs/>
          <w:szCs w:val="21"/>
        </w:rPr>
        <w:t>（1） 预付</w:t>
      </w:r>
      <w:proofErr w:type="gramStart"/>
      <w:r>
        <w:rPr>
          <w:rFonts w:ascii="宋体" w:eastAsia="宋体" w:hAnsi="宋体" w:cs="宋体"/>
          <w:b/>
          <w:bCs/>
          <w:szCs w:val="21"/>
        </w:rPr>
        <w:t>款项按账龄</w:t>
      </w:r>
      <w:proofErr w:type="gramEnd"/>
      <w:r>
        <w:rPr>
          <w:rFonts w:ascii="宋体" w:eastAsia="宋体" w:hAnsi="宋体" w:cs="宋体"/>
          <w:b/>
          <w:bCs/>
          <w:szCs w:val="21"/>
        </w:rPr>
        <w:t>列示</w:t>
      </w:r>
      <w:bookmarkEnd w:id="248"/>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26,105,093.61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99.17%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743,909.69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73.15%</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3,350.74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67,179.56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6.61%</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8,400.00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205,851.70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0.78%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205,851.70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20.24%</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26,322,696.05</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1,016,940.95</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keepNext/>
        <w:keepLines/>
        <w:spacing w:before="300" w:after="300" w:line="280" w:lineRule="exact"/>
        <w:outlineLvl w:val="3"/>
        <w:rPr>
          <w:rFonts w:ascii="宋体" w:eastAsia="宋体" w:hAnsi="宋体" w:cs="宋体"/>
          <w:b/>
          <w:bCs/>
          <w:szCs w:val="21"/>
        </w:rPr>
      </w:pPr>
      <w:bookmarkStart w:id="249" w:name="_Toc989133"/>
      <w:r>
        <w:rPr>
          <w:rFonts w:ascii="宋体" w:eastAsia="宋体" w:hAnsi="宋体" w:cs="宋体"/>
          <w:b/>
          <w:bCs/>
          <w:szCs w:val="21"/>
        </w:rPr>
        <w:t>（2） 按预付对象归集的期末余额前五名的预付款情况</w:t>
      </w:r>
      <w:bookmarkEnd w:id="249"/>
    </w:p>
    <w:p w:rsidR="00A2119D" w:rsidRPr="00745844" w:rsidRDefault="00A2119D">
      <w:pPr>
        <w:pStyle w:val="a3"/>
        <w:spacing w:before="0" w:beforeAutospacing="0" w:after="0" w:afterAutospacing="0" w:line="440" w:lineRule="atLeast"/>
        <w:ind w:firstLine="420"/>
        <w:jc w:val="both"/>
        <w:divId w:val="1017735791"/>
        <w:rPr>
          <w:rFonts w:cs="Times New Roman"/>
          <w:sz w:val="21"/>
          <w:szCs w:val="21"/>
        </w:rPr>
      </w:pPr>
      <w:r w:rsidRPr="00745844">
        <w:rPr>
          <w:rFonts w:cs="Times New Roman" w:hint="eastAsia"/>
          <w:color w:val="000000"/>
          <w:sz w:val="21"/>
          <w:szCs w:val="21"/>
        </w:rPr>
        <w:t>本公司按预付对象归集的年末余额前五名预付账款汇总金额为</w:t>
      </w:r>
      <w:r w:rsidRPr="00745844">
        <w:rPr>
          <w:rFonts w:cs="Times New Roman"/>
          <w:snapToGrid w:val="0"/>
          <w:color w:val="000000"/>
          <w:sz w:val="21"/>
          <w:szCs w:val="21"/>
        </w:rPr>
        <w:t>25,840,996.04</w:t>
      </w:r>
      <w:r w:rsidRPr="00745844">
        <w:rPr>
          <w:rFonts w:cs="Times New Roman" w:hint="eastAsia"/>
          <w:color w:val="000000"/>
          <w:sz w:val="21"/>
          <w:szCs w:val="21"/>
        </w:rPr>
        <w:t>元，占预付账款年末余额合计数的比例为</w:t>
      </w:r>
      <w:r w:rsidRPr="00745844">
        <w:rPr>
          <w:rFonts w:cs="Times New Roman"/>
          <w:color w:val="000000"/>
          <w:sz w:val="21"/>
          <w:szCs w:val="21"/>
        </w:rPr>
        <w:t>98.17%</w:t>
      </w:r>
      <w:r w:rsidRPr="00745844">
        <w:rPr>
          <w:rFonts w:cs="Times New Roman" w:hint="eastAsia"/>
          <w:color w:val="000000"/>
          <w:sz w:val="21"/>
          <w:szCs w:val="21"/>
        </w:rPr>
        <w:t>。</w:t>
      </w:r>
    </w:p>
    <w:tbl>
      <w:tblPr>
        <w:tblW w:w="5000" w:type="pct"/>
        <w:tblCellMar>
          <w:left w:w="0" w:type="dxa"/>
          <w:right w:w="0" w:type="dxa"/>
        </w:tblCellMar>
        <w:tblLook w:val="04A0" w:firstRow="1" w:lastRow="0" w:firstColumn="1" w:lastColumn="0" w:noHBand="0" w:noVBand="1"/>
      </w:tblPr>
      <w:tblGrid>
        <w:gridCol w:w="3204"/>
        <w:gridCol w:w="2316"/>
        <w:gridCol w:w="4097"/>
      </w:tblGrid>
      <w:tr w:rsidR="00A2119D" w:rsidRPr="00745844">
        <w:trPr>
          <w:divId w:val="1017735791"/>
          <w:cantSplit/>
          <w:trHeight w:val="397"/>
          <w:tblHeader/>
        </w:trPr>
        <w:tc>
          <w:tcPr>
            <w:tcW w:w="16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105"/>
              <w:jc w:val="center"/>
              <w:rPr>
                <w:rFonts w:cs="Times New Roman"/>
                <w:sz w:val="18"/>
                <w:szCs w:val="18"/>
              </w:rPr>
            </w:pPr>
            <w:r w:rsidRPr="00745844">
              <w:rPr>
                <w:rFonts w:cs="Times New Roman" w:hint="eastAsia"/>
                <w:snapToGrid w:val="0"/>
                <w:color w:val="000000" w:themeColor="text1"/>
                <w:sz w:val="18"/>
                <w:szCs w:val="18"/>
              </w:rPr>
              <w:t>单位名称</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73"/>
              <w:jc w:val="center"/>
              <w:rPr>
                <w:rFonts w:cs="Times New Roman"/>
                <w:sz w:val="18"/>
                <w:szCs w:val="18"/>
              </w:rPr>
            </w:pPr>
            <w:r w:rsidRPr="00745844">
              <w:rPr>
                <w:rFonts w:cs="Times New Roman" w:hint="eastAsia"/>
                <w:snapToGrid w:val="0"/>
                <w:color w:val="000000" w:themeColor="text1"/>
                <w:sz w:val="18"/>
                <w:szCs w:val="18"/>
              </w:rPr>
              <w:t>期末余额</w:t>
            </w:r>
          </w:p>
        </w:tc>
        <w:tc>
          <w:tcPr>
            <w:tcW w:w="21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jc w:val="center"/>
              <w:rPr>
                <w:rFonts w:cs="Times New Roman"/>
                <w:sz w:val="18"/>
                <w:szCs w:val="18"/>
              </w:rPr>
            </w:pPr>
            <w:r w:rsidRPr="00745844">
              <w:rPr>
                <w:rFonts w:cs="Times New Roman" w:hint="eastAsia"/>
                <w:snapToGrid w:val="0"/>
                <w:color w:val="000000" w:themeColor="text1"/>
                <w:sz w:val="18"/>
                <w:szCs w:val="18"/>
              </w:rPr>
              <w:t>占预付款项期末余额合计数的比例</w:t>
            </w:r>
            <w:r w:rsidRPr="00745844">
              <w:rPr>
                <w:rFonts w:cs="Times New Roman"/>
                <w:snapToGrid w:val="0"/>
                <w:color w:val="000000" w:themeColor="text1"/>
                <w:sz w:val="18"/>
                <w:szCs w:val="18"/>
              </w:rPr>
              <w:t>(%)</w:t>
            </w:r>
          </w:p>
        </w:tc>
      </w:tr>
      <w:tr w:rsidR="00A2119D" w:rsidRPr="00745844">
        <w:trPr>
          <w:divId w:val="1017735791"/>
          <w:cantSplit/>
          <w:trHeight w:val="397"/>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105"/>
              <w:jc w:val="both"/>
              <w:rPr>
                <w:rFonts w:cs="Times New Roman"/>
                <w:sz w:val="18"/>
                <w:szCs w:val="18"/>
              </w:rPr>
            </w:pPr>
            <w:r w:rsidRPr="00745844">
              <w:rPr>
                <w:rFonts w:cs="Times New Roman" w:hint="eastAsia"/>
                <w:snapToGrid w:val="0"/>
                <w:color w:val="000000"/>
                <w:sz w:val="18"/>
                <w:szCs w:val="18"/>
              </w:rPr>
              <w:t>第一名</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73"/>
              <w:jc w:val="right"/>
              <w:rPr>
                <w:rFonts w:cs="Times New Roman"/>
                <w:sz w:val="18"/>
                <w:szCs w:val="18"/>
              </w:rPr>
            </w:pPr>
            <w:r w:rsidRPr="00745844">
              <w:rPr>
                <w:rFonts w:cs="Times New Roman"/>
                <w:snapToGrid w:val="0"/>
                <w:color w:val="000000"/>
                <w:sz w:val="18"/>
                <w:szCs w:val="18"/>
              </w:rPr>
              <w:t>15,648,000.00</w:t>
            </w:r>
          </w:p>
        </w:tc>
        <w:tc>
          <w:tcPr>
            <w:tcW w:w="2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jc w:val="right"/>
              <w:rPr>
                <w:rFonts w:cs="Times New Roman"/>
                <w:sz w:val="18"/>
                <w:szCs w:val="18"/>
              </w:rPr>
            </w:pPr>
            <w:r w:rsidRPr="00745844">
              <w:rPr>
                <w:rFonts w:cs="Times New Roman"/>
                <w:snapToGrid w:val="0"/>
                <w:color w:val="000000"/>
                <w:sz w:val="18"/>
                <w:szCs w:val="18"/>
              </w:rPr>
              <w:t>59.45</w:t>
            </w:r>
          </w:p>
        </w:tc>
      </w:tr>
      <w:tr w:rsidR="00A2119D" w:rsidRPr="00745844">
        <w:trPr>
          <w:divId w:val="1017735791"/>
          <w:cantSplit/>
          <w:trHeight w:val="397"/>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105"/>
              <w:jc w:val="both"/>
              <w:rPr>
                <w:rFonts w:cs="Times New Roman"/>
                <w:sz w:val="18"/>
                <w:szCs w:val="18"/>
              </w:rPr>
            </w:pPr>
            <w:r w:rsidRPr="00745844">
              <w:rPr>
                <w:rFonts w:cs="Times New Roman" w:hint="eastAsia"/>
                <w:snapToGrid w:val="0"/>
                <w:color w:val="000000"/>
                <w:sz w:val="18"/>
                <w:szCs w:val="18"/>
              </w:rPr>
              <w:t>第二名</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73"/>
              <w:jc w:val="right"/>
              <w:rPr>
                <w:rFonts w:cs="Times New Roman"/>
                <w:sz w:val="18"/>
                <w:szCs w:val="18"/>
              </w:rPr>
            </w:pPr>
            <w:r w:rsidRPr="00745844">
              <w:rPr>
                <w:rFonts w:cs="Times New Roman"/>
                <w:snapToGrid w:val="0"/>
                <w:color w:val="000000"/>
                <w:sz w:val="18"/>
                <w:szCs w:val="18"/>
              </w:rPr>
              <w:t>9,388,800.04</w:t>
            </w:r>
          </w:p>
        </w:tc>
        <w:tc>
          <w:tcPr>
            <w:tcW w:w="2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jc w:val="right"/>
              <w:rPr>
                <w:rFonts w:cs="Times New Roman"/>
                <w:sz w:val="18"/>
                <w:szCs w:val="18"/>
              </w:rPr>
            </w:pPr>
            <w:r w:rsidRPr="00745844">
              <w:rPr>
                <w:rFonts w:cs="Times New Roman"/>
                <w:snapToGrid w:val="0"/>
                <w:color w:val="000000"/>
                <w:sz w:val="18"/>
                <w:szCs w:val="18"/>
              </w:rPr>
              <w:t>35.67</w:t>
            </w:r>
          </w:p>
        </w:tc>
      </w:tr>
      <w:tr w:rsidR="00A2119D" w:rsidRPr="00745844">
        <w:trPr>
          <w:divId w:val="1017735791"/>
          <w:cantSplit/>
          <w:trHeight w:val="397"/>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105"/>
              <w:jc w:val="both"/>
              <w:rPr>
                <w:rFonts w:cs="Times New Roman"/>
                <w:sz w:val="18"/>
                <w:szCs w:val="18"/>
              </w:rPr>
            </w:pPr>
            <w:r w:rsidRPr="00745844">
              <w:rPr>
                <w:rFonts w:cs="Times New Roman" w:hint="eastAsia"/>
                <w:snapToGrid w:val="0"/>
                <w:color w:val="000000"/>
                <w:sz w:val="18"/>
                <w:szCs w:val="18"/>
              </w:rPr>
              <w:t>第三名</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73"/>
              <w:jc w:val="right"/>
              <w:rPr>
                <w:rFonts w:cs="Times New Roman"/>
                <w:sz w:val="18"/>
                <w:szCs w:val="18"/>
              </w:rPr>
            </w:pPr>
            <w:r w:rsidRPr="00745844">
              <w:rPr>
                <w:rFonts w:cs="Times New Roman"/>
                <w:snapToGrid w:val="0"/>
                <w:color w:val="000000"/>
                <w:sz w:val="18"/>
                <w:szCs w:val="18"/>
              </w:rPr>
              <w:t>524,369.00</w:t>
            </w:r>
          </w:p>
        </w:tc>
        <w:tc>
          <w:tcPr>
            <w:tcW w:w="2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jc w:val="right"/>
              <w:rPr>
                <w:rFonts w:cs="Times New Roman"/>
                <w:sz w:val="18"/>
                <w:szCs w:val="18"/>
              </w:rPr>
            </w:pPr>
            <w:r w:rsidRPr="00745844">
              <w:rPr>
                <w:rFonts w:cs="Times New Roman"/>
                <w:snapToGrid w:val="0"/>
                <w:color w:val="000000"/>
                <w:sz w:val="18"/>
                <w:szCs w:val="18"/>
              </w:rPr>
              <w:t>1.99</w:t>
            </w:r>
          </w:p>
        </w:tc>
      </w:tr>
      <w:tr w:rsidR="00A2119D" w:rsidRPr="00745844">
        <w:trPr>
          <w:divId w:val="1017735791"/>
          <w:cantSplit/>
          <w:trHeight w:val="397"/>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105"/>
              <w:jc w:val="both"/>
              <w:rPr>
                <w:rFonts w:cs="Times New Roman"/>
                <w:sz w:val="18"/>
                <w:szCs w:val="18"/>
              </w:rPr>
            </w:pPr>
            <w:r w:rsidRPr="00745844">
              <w:rPr>
                <w:rFonts w:cs="Times New Roman" w:hint="eastAsia"/>
                <w:snapToGrid w:val="0"/>
                <w:color w:val="000000"/>
                <w:sz w:val="18"/>
                <w:szCs w:val="18"/>
              </w:rPr>
              <w:t>第四名</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73"/>
              <w:jc w:val="right"/>
              <w:rPr>
                <w:rFonts w:cs="Times New Roman"/>
                <w:sz w:val="18"/>
                <w:szCs w:val="18"/>
              </w:rPr>
            </w:pPr>
            <w:r w:rsidRPr="00745844">
              <w:rPr>
                <w:rFonts w:cs="Times New Roman"/>
                <w:snapToGrid w:val="0"/>
                <w:color w:val="000000"/>
                <w:sz w:val="18"/>
                <w:szCs w:val="18"/>
              </w:rPr>
              <w:t>149,550.00</w:t>
            </w:r>
          </w:p>
        </w:tc>
        <w:tc>
          <w:tcPr>
            <w:tcW w:w="2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jc w:val="right"/>
              <w:rPr>
                <w:rFonts w:cs="Times New Roman"/>
                <w:sz w:val="18"/>
                <w:szCs w:val="18"/>
              </w:rPr>
            </w:pPr>
            <w:r w:rsidRPr="00745844">
              <w:rPr>
                <w:rFonts w:cs="Times New Roman"/>
                <w:snapToGrid w:val="0"/>
                <w:color w:val="000000"/>
                <w:sz w:val="18"/>
                <w:szCs w:val="18"/>
              </w:rPr>
              <w:t>0.57</w:t>
            </w:r>
          </w:p>
        </w:tc>
      </w:tr>
      <w:tr w:rsidR="00A2119D" w:rsidRPr="00745844">
        <w:trPr>
          <w:divId w:val="1017735791"/>
          <w:cantSplit/>
          <w:trHeight w:val="397"/>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105"/>
              <w:jc w:val="both"/>
              <w:rPr>
                <w:rFonts w:cs="Times New Roman"/>
                <w:sz w:val="18"/>
                <w:szCs w:val="18"/>
              </w:rPr>
            </w:pPr>
            <w:r w:rsidRPr="00745844">
              <w:rPr>
                <w:rFonts w:cs="Times New Roman" w:hint="eastAsia"/>
                <w:snapToGrid w:val="0"/>
                <w:color w:val="000000"/>
                <w:sz w:val="18"/>
                <w:szCs w:val="18"/>
              </w:rPr>
              <w:t>第五名</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73"/>
              <w:jc w:val="right"/>
              <w:rPr>
                <w:rFonts w:cs="Times New Roman"/>
                <w:sz w:val="18"/>
                <w:szCs w:val="18"/>
              </w:rPr>
            </w:pPr>
            <w:r w:rsidRPr="00745844">
              <w:rPr>
                <w:rFonts w:cs="Times New Roman"/>
                <w:snapToGrid w:val="0"/>
                <w:color w:val="000000"/>
                <w:sz w:val="18"/>
                <w:szCs w:val="18"/>
              </w:rPr>
              <w:t>130,277.00</w:t>
            </w:r>
          </w:p>
        </w:tc>
        <w:tc>
          <w:tcPr>
            <w:tcW w:w="2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jc w:val="right"/>
              <w:rPr>
                <w:rFonts w:cs="Times New Roman"/>
                <w:sz w:val="18"/>
                <w:szCs w:val="18"/>
              </w:rPr>
            </w:pPr>
            <w:r w:rsidRPr="00745844">
              <w:rPr>
                <w:rFonts w:cs="Times New Roman"/>
                <w:snapToGrid w:val="0"/>
                <w:color w:val="000000"/>
                <w:sz w:val="18"/>
                <w:szCs w:val="18"/>
              </w:rPr>
              <w:t>0.49</w:t>
            </w:r>
          </w:p>
        </w:tc>
      </w:tr>
      <w:tr w:rsidR="00A2119D" w:rsidRPr="00745844">
        <w:trPr>
          <w:divId w:val="1017735791"/>
          <w:cantSplit/>
          <w:trHeight w:val="397"/>
        </w:trPr>
        <w:tc>
          <w:tcPr>
            <w:tcW w:w="166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105"/>
              <w:jc w:val="center"/>
              <w:rPr>
                <w:rFonts w:cs="Times New Roman"/>
                <w:sz w:val="18"/>
                <w:szCs w:val="18"/>
              </w:rPr>
            </w:pPr>
            <w:r w:rsidRPr="00745844">
              <w:rPr>
                <w:rFonts w:cs="Times New Roman" w:hint="eastAsia"/>
                <w:snapToGrid w:val="0"/>
                <w:color w:val="000000"/>
                <w:sz w:val="18"/>
                <w:szCs w:val="18"/>
              </w:rPr>
              <w:t>合计</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ind w:right="73"/>
              <w:jc w:val="right"/>
              <w:rPr>
                <w:rFonts w:cs="Times New Roman"/>
                <w:sz w:val="18"/>
                <w:szCs w:val="18"/>
              </w:rPr>
            </w:pPr>
            <w:r w:rsidRPr="00745844">
              <w:rPr>
                <w:rFonts w:cs="Times New Roman"/>
                <w:snapToGrid w:val="0"/>
                <w:color w:val="000000"/>
                <w:sz w:val="18"/>
                <w:szCs w:val="18"/>
              </w:rPr>
              <w:t>25,840,996.04</w:t>
            </w:r>
          </w:p>
        </w:tc>
        <w:tc>
          <w:tcPr>
            <w:tcW w:w="2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745844" w:rsidRDefault="00A2119D">
            <w:pPr>
              <w:pStyle w:val="a3"/>
              <w:spacing w:before="0" w:beforeAutospacing="0" w:after="0" w:afterAutospacing="0"/>
              <w:jc w:val="right"/>
              <w:rPr>
                <w:rFonts w:cs="Times New Roman"/>
                <w:sz w:val="18"/>
                <w:szCs w:val="18"/>
              </w:rPr>
            </w:pPr>
            <w:r w:rsidRPr="00745844">
              <w:rPr>
                <w:rFonts w:cs="Times New Roman"/>
                <w:snapToGrid w:val="0"/>
                <w:color w:val="000000"/>
                <w:sz w:val="18"/>
                <w:szCs w:val="18"/>
              </w:rPr>
              <w:t>98.17</w:t>
            </w:r>
          </w:p>
        </w:tc>
      </w:tr>
    </w:tbl>
    <w:p w:rsidR="00A27D66" w:rsidRDefault="00A2119D">
      <w:pPr>
        <w:pStyle w:val="3"/>
        <w:spacing w:line="280" w:lineRule="exact"/>
        <w:jc w:val="left"/>
        <w:rPr>
          <w:rFonts w:ascii="宋体" w:hAnsi="宋体" w:cs="宋体"/>
          <w:b/>
          <w:bCs/>
        </w:rPr>
      </w:pPr>
      <w:bookmarkStart w:id="250" w:name="_Toc989134"/>
      <w:r>
        <w:rPr>
          <w:rFonts w:ascii="宋体" w:hAnsi="宋体" w:cs="宋体"/>
          <w:b/>
          <w:bCs/>
        </w:rPr>
        <w:t>7、存货</w:t>
      </w:r>
      <w:bookmarkEnd w:id="250"/>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公司是否需要遵守房地产行业的披露要求</w:t>
      </w:r>
    </w:p>
    <w:p w:rsidR="00A27D66" w:rsidRDefault="00A2119D">
      <w:pPr>
        <w:spacing w:line="240" w:lineRule="exact"/>
        <w:rPr>
          <w:rFonts w:ascii="宋体" w:eastAsia="宋体" w:hAnsi="宋体" w:cs="宋体"/>
          <w:sz w:val="18"/>
          <w:szCs w:val="18"/>
        </w:rPr>
      </w:pPr>
      <w:proofErr w:type="gramStart"/>
      <w:r>
        <w:rPr>
          <w:rFonts w:ascii="宋体" w:eastAsia="宋体" w:hAnsi="宋体" w:cs="宋体"/>
          <w:sz w:val="18"/>
          <w:szCs w:val="18"/>
        </w:rPr>
        <w:t>否</w:t>
      </w:r>
      <w:proofErr w:type="gramEnd"/>
    </w:p>
    <w:p w:rsidR="00A27D66" w:rsidRDefault="00A2119D">
      <w:pPr>
        <w:keepNext/>
        <w:keepLines/>
        <w:spacing w:before="300" w:after="300" w:line="280" w:lineRule="exact"/>
        <w:outlineLvl w:val="3"/>
        <w:rPr>
          <w:rFonts w:ascii="宋体" w:eastAsia="宋体" w:hAnsi="宋体" w:cs="宋体"/>
          <w:b/>
          <w:bCs/>
          <w:szCs w:val="21"/>
        </w:rPr>
      </w:pPr>
      <w:bookmarkStart w:id="251" w:name="_Toc989135"/>
      <w:r>
        <w:rPr>
          <w:rFonts w:ascii="宋体" w:eastAsia="宋体" w:hAnsi="宋体" w:cs="宋体"/>
          <w:b/>
          <w:bCs/>
          <w:szCs w:val="21"/>
        </w:rPr>
        <w:t>（1） 存货分类</w:t>
      </w:r>
      <w:bookmarkEnd w:id="251"/>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10490" w:type="dxa"/>
        <w:tblInd w:w="-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418"/>
        <w:gridCol w:w="1559"/>
        <w:gridCol w:w="1296"/>
        <w:gridCol w:w="1681"/>
        <w:gridCol w:w="1559"/>
        <w:gridCol w:w="1418"/>
        <w:gridCol w:w="1559"/>
      </w:tblGrid>
      <w:tr w:rsidR="00A27D66" w:rsidTr="00F85495">
        <w:trPr>
          <w:trHeight w:val="240"/>
        </w:trPr>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53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53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rsidTr="00F85495">
        <w:trPr>
          <w:trHeight w:val="240"/>
        </w:trPr>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29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68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A27D66" w:rsidTr="00F85495">
        <w:trPr>
          <w:trHeight w:val="240"/>
        </w:trPr>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49,888,529.96</w:t>
            </w:r>
          </w:p>
        </w:tc>
        <w:tc>
          <w:tcPr>
            <w:tcW w:w="129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1,579,395.88</w:t>
            </w:r>
          </w:p>
        </w:tc>
        <w:tc>
          <w:tcPr>
            <w:tcW w:w="168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48,309,134.08</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79,346,173.77</w:t>
            </w: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1,144,549.87</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78,201,623.90</w:t>
            </w:r>
          </w:p>
        </w:tc>
      </w:tr>
      <w:tr w:rsidR="00A27D66" w:rsidTr="00F85495">
        <w:trPr>
          <w:trHeight w:val="240"/>
        </w:trPr>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在产品</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59,313,074.79</w:t>
            </w:r>
          </w:p>
        </w:tc>
        <w:tc>
          <w:tcPr>
            <w:tcW w:w="129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8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59,313,074.79</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26,867,228.66</w:t>
            </w: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693,711.41</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26,173,517.25</w:t>
            </w:r>
          </w:p>
        </w:tc>
      </w:tr>
      <w:tr w:rsidR="00A27D66" w:rsidTr="00F85495">
        <w:trPr>
          <w:trHeight w:val="240"/>
        </w:trPr>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50,056,038.93</w:t>
            </w:r>
          </w:p>
        </w:tc>
        <w:tc>
          <w:tcPr>
            <w:tcW w:w="129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3,858,385.51</w:t>
            </w:r>
          </w:p>
        </w:tc>
        <w:tc>
          <w:tcPr>
            <w:tcW w:w="168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46,197,653.42</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41,988,500.91</w:t>
            </w: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2,354,458.02</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39,634,042.89</w:t>
            </w:r>
          </w:p>
        </w:tc>
      </w:tr>
      <w:tr w:rsidR="00A27D66" w:rsidTr="00F85495">
        <w:trPr>
          <w:trHeight w:val="240"/>
        </w:trPr>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发出商品</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20,416,192.13</w:t>
            </w:r>
          </w:p>
        </w:tc>
        <w:tc>
          <w:tcPr>
            <w:tcW w:w="129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8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20,416,192.13</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17,106,289.13</w:t>
            </w: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17,106,289.13</w:t>
            </w:r>
          </w:p>
        </w:tc>
      </w:tr>
      <w:tr w:rsidR="00A27D66" w:rsidTr="00F85495">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半成品</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188,950.82</w:t>
            </w:r>
          </w:p>
        </w:tc>
        <w:tc>
          <w:tcPr>
            <w:tcW w:w="129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17,247.38</w:t>
            </w:r>
          </w:p>
        </w:tc>
        <w:tc>
          <w:tcPr>
            <w:tcW w:w="168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171,703.44</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385,315.60</w:t>
            </w: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24,022.83</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361,292.77</w:t>
            </w:r>
          </w:p>
        </w:tc>
      </w:tr>
      <w:tr w:rsidR="00A27D66" w:rsidTr="00F85495">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在途物资</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8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122,064.36</w:t>
            </w: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122,064.36</w:t>
            </w:r>
          </w:p>
        </w:tc>
      </w:tr>
      <w:tr w:rsidR="00A27D66" w:rsidTr="00F85495">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委托加工物资</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2,795,403.56</w:t>
            </w:r>
          </w:p>
        </w:tc>
        <w:tc>
          <w:tcPr>
            <w:tcW w:w="129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8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2,795,403.56</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1,293,674.51</w:t>
            </w: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1,293,674.51</w:t>
            </w:r>
          </w:p>
        </w:tc>
      </w:tr>
      <w:tr w:rsidR="00A27D66" w:rsidTr="00F85495">
        <w:trPr>
          <w:trHeight w:val="240"/>
        </w:trPr>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低值易耗品</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8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19,855.91</w:t>
            </w: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19,855.91</w:t>
            </w:r>
          </w:p>
        </w:tc>
      </w:tr>
      <w:tr w:rsidR="00A27D66" w:rsidTr="00F85495">
        <w:trPr>
          <w:trHeight w:val="240"/>
        </w:trPr>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182,658,190.19</w:t>
            </w:r>
          </w:p>
        </w:tc>
        <w:tc>
          <w:tcPr>
            <w:tcW w:w="129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5,455,028.77</w:t>
            </w:r>
          </w:p>
        </w:tc>
        <w:tc>
          <w:tcPr>
            <w:tcW w:w="168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177,203,161.42</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167,129,102.85</w:t>
            </w: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4,216,742.13</w:t>
            </w:r>
          </w:p>
        </w:tc>
        <w:tc>
          <w:tcPr>
            <w:tcW w:w="155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162,912,360.72</w:t>
            </w:r>
          </w:p>
        </w:tc>
      </w:tr>
    </w:tbl>
    <w:p w:rsidR="00A27D66" w:rsidRDefault="00A2119D">
      <w:pPr>
        <w:keepNext/>
        <w:keepLines/>
        <w:spacing w:before="300" w:after="300" w:line="280" w:lineRule="exact"/>
        <w:outlineLvl w:val="3"/>
        <w:rPr>
          <w:rFonts w:ascii="宋体" w:eastAsia="宋体" w:hAnsi="宋体" w:cs="宋体"/>
          <w:b/>
          <w:bCs/>
          <w:szCs w:val="21"/>
        </w:rPr>
      </w:pPr>
      <w:bookmarkStart w:id="252" w:name="_Toc989136"/>
      <w:r>
        <w:rPr>
          <w:rFonts w:ascii="宋体" w:eastAsia="宋体" w:hAnsi="宋体" w:cs="宋体"/>
          <w:b/>
          <w:bCs/>
          <w:szCs w:val="21"/>
        </w:rPr>
        <w:t>（2） 存货跌价准备和合同履约成本减值准备</w:t>
      </w:r>
      <w:bookmarkEnd w:id="252"/>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A27D66">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1,144,549.87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447,631.58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212,611.46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225,397.03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1,579,395.88</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693,711.41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693,711.41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2,354,458.02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1,512,795.04</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4,461.11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13,328.66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3,858,385.51</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半成品</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24,022.83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6,775.45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17,247.38</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4,216,742.13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1,960,426.62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217,072.57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939,212.55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5,455,028.77</w:t>
            </w:r>
          </w:p>
        </w:tc>
      </w:tr>
    </w:tbl>
    <w:p w:rsidR="00A27D66" w:rsidRDefault="00A2119D">
      <w:pPr>
        <w:pStyle w:val="3"/>
        <w:spacing w:line="280" w:lineRule="exact"/>
        <w:jc w:val="left"/>
        <w:rPr>
          <w:rFonts w:ascii="宋体" w:hAnsi="宋体" w:cs="宋体"/>
          <w:b/>
          <w:bCs/>
        </w:rPr>
      </w:pPr>
      <w:bookmarkStart w:id="253" w:name="_Toc989137"/>
      <w:r>
        <w:rPr>
          <w:rFonts w:ascii="宋体" w:hAnsi="宋体" w:cs="宋体"/>
          <w:b/>
          <w:bCs/>
        </w:rPr>
        <w:t>8、一年内到期的非流动资产</w:t>
      </w:r>
      <w:bookmarkEnd w:id="253"/>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一年内到期的长期应收款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4,677,182.20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583,427.82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4,677,182.20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583,427.82</w:t>
            </w:r>
          </w:p>
        </w:tc>
      </w:tr>
    </w:tbl>
    <w:p w:rsidR="00A27D66" w:rsidRDefault="00A2119D">
      <w:pPr>
        <w:keepNext/>
        <w:keepLines/>
        <w:spacing w:before="300" w:after="300" w:line="280" w:lineRule="exact"/>
        <w:outlineLvl w:val="3"/>
        <w:rPr>
          <w:rFonts w:ascii="宋体" w:eastAsia="宋体" w:hAnsi="宋体" w:cs="宋体"/>
          <w:b/>
          <w:bCs/>
          <w:szCs w:val="21"/>
        </w:rPr>
      </w:pPr>
      <w:bookmarkStart w:id="254" w:name="_Toc989138"/>
      <w:r>
        <w:rPr>
          <w:rFonts w:ascii="宋体" w:eastAsia="宋体" w:hAnsi="宋体" w:cs="宋体"/>
          <w:b/>
          <w:bCs/>
          <w:szCs w:val="21"/>
        </w:rPr>
        <w:t>（1） 一年内到期的债权投资</w:t>
      </w:r>
      <w:bookmarkEnd w:id="254"/>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keepNext/>
        <w:keepLines/>
        <w:spacing w:before="300" w:after="300" w:line="280" w:lineRule="exact"/>
        <w:outlineLvl w:val="3"/>
        <w:rPr>
          <w:rFonts w:ascii="宋体" w:eastAsia="宋体" w:hAnsi="宋体" w:cs="宋体"/>
          <w:b/>
          <w:bCs/>
          <w:szCs w:val="21"/>
        </w:rPr>
      </w:pPr>
      <w:bookmarkStart w:id="255" w:name="_Toc989139"/>
      <w:r>
        <w:rPr>
          <w:rFonts w:ascii="宋体" w:eastAsia="宋体" w:hAnsi="宋体" w:cs="宋体"/>
          <w:b/>
          <w:bCs/>
          <w:szCs w:val="21"/>
        </w:rPr>
        <w:t>（2） 一年内到期的其他债权投资</w:t>
      </w:r>
      <w:bookmarkEnd w:id="255"/>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256" w:name="_Toc989140"/>
      <w:r>
        <w:rPr>
          <w:rFonts w:ascii="宋体" w:hAnsi="宋体" w:cs="宋体"/>
          <w:b/>
          <w:bCs/>
        </w:rPr>
        <w:t>9、其他流动资产</w:t>
      </w:r>
      <w:bookmarkEnd w:id="256"/>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已认证留底/待认证进项税额</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6,156,100.50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6,661,216.91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预缴所得税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2,644,516.40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5,592,310.19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住房基金户余款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2,148,646.32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2,141,017.69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10,949,263.22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14,394,544.79</w:t>
            </w:r>
          </w:p>
        </w:tc>
      </w:tr>
    </w:tbl>
    <w:p w:rsidR="00A27D66" w:rsidRDefault="00A2119D">
      <w:pPr>
        <w:pStyle w:val="3"/>
        <w:spacing w:line="280" w:lineRule="exact"/>
        <w:jc w:val="left"/>
        <w:rPr>
          <w:rFonts w:ascii="宋体" w:hAnsi="宋体" w:cs="宋体"/>
          <w:b/>
          <w:bCs/>
        </w:rPr>
      </w:pPr>
      <w:bookmarkStart w:id="257" w:name="_Toc989141"/>
      <w:r>
        <w:rPr>
          <w:rFonts w:ascii="宋体" w:hAnsi="宋体" w:cs="宋体"/>
          <w:b/>
          <w:bCs/>
        </w:rPr>
        <w:t>10、其他权益工具投资</w:t>
      </w:r>
      <w:bookmarkEnd w:id="257"/>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10348"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843"/>
        <w:gridCol w:w="1418"/>
        <w:gridCol w:w="1417"/>
        <w:gridCol w:w="1276"/>
        <w:gridCol w:w="992"/>
        <w:gridCol w:w="851"/>
        <w:gridCol w:w="850"/>
        <w:gridCol w:w="709"/>
        <w:gridCol w:w="992"/>
      </w:tblGrid>
      <w:tr w:rsidR="00A27D66" w:rsidTr="00F85495">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本期计入其他综合收益的利得</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本期计入其他综合收益的损失</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本期末累计计入其他综合收益的利</w:t>
            </w:r>
            <w:r>
              <w:rPr>
                <w:rFonts w:ascii="宋体" w:eastAsia="宋体" w:hAnsi="宋体" w:cs="宋体"/>
                <w:sz w:val="18"/>
                <w:szCs w:val="18"/>
              </w:rPr>
              <w:lastRenderedPageBreak/>
              <w:t>得</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本期末累计计入其他综合收益的损</w:t>
            </w:r>
            <w:r>
              <w:rPr>
                <w:rFonts w:ascii="宋体" w:eastAsia="宋体" w:hAnsi="宋体" w:cs="宋体"/>
                <w:sz w:val="18"/>
                <w:szCs w:val="18"/>
              </w:rPr>
              <w:lastRenderedPageBreak/>
              <w:t>失</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本期确认的股利收入</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指定为以公允价值计量且其变动计入其他综合收益的原</w:t>
            </w:r>
            <w:r>
              <w:rPr>
                <w:rFonts w:ascii="宋体" w:eastAsia="宋体" w:hAnsi="宋体" w:cs="宋体"/>
                <w:sz w:val="18"/>
                <w:szCs w:val="18"/>
              </w:rPr>
              <w:lastRenderedPageBreak/>
              <w:t>因</w:t>
            </w:r>
          </w:p>
        </w:tc>
      </w:tr>
      <w:tr w:rsidR="00A27D66" w:rsidTr="00F85495">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上市权益工具投资</w:t>
            </w: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5E250D" w:rsidTr="00F85495">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rPr>
                <w:rFonts w:ascii="宋体" w:eastAsia="宋体" w:hAnsi="宋体" w:cs="宋体"/>
                <w:sz w:val="18"/>
                <w:szCs w:val="18"/>
              </w:rPr>
            </w:pPr>
            <w:r>
              <w:rPr>
                <w:rFonts w:ascii="宋体" w:eastAsia="宋体" w:hAnsi="宋体" w:cs="宋体"/>
                <w:sz w:val="18"/>
                <w:szCs w:val="18"/>
              </w:rPr>
              <w:t>非上市权益工具投资</w:t>
            </w:r>
          </w:p>
        </w:tc>
        <w:tc>
          <w:tcPr>
            <w:tcW w:w="1418"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D17413">
              <w:rPr>
                <w:rFonts w:ascii="宋体" w:eastAsia="宋体" w:hAnsi="宋体" w:cs="宋体"/>
                <w:sz w:val="18"/>
                <w:szCs w:val="18"/>
              </w:rPr>
              <w:t>58,611,906.40</w:t>
            </w:r>
          </w:p>
        </w:tc>
        <w:tc>
          <w:tcPr>
            <w:tcW w:w="1417"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D17413">
              <w:rPr>
                <w:rFonts w:ascii="宋体" w:eastAsia="宋体" w:hAnsi="宋体" w:cs="宋体"/>
                <w:sz w:val="18"/>
                <w:szCs w:val="18"/>
              </w:rPr>
              <w:t>57,770,311.20</w:t>
            </w:r>
          </w:p>
        </w:tc>
        <w:tc>
          <w:tcPr>
            <w:tcW w:w="1276"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10,841,595.20</w:t>
            </w:r>
          </w:p>
        </w:tc>
        <w:tc>
          <w:tcPr>
            <w:tcW w:w="992"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48,611,906.40</w:t>
            </w:r>
          </w:p>
        </w:tc>
        <w:tc>
          <w:tcPr>
            <w:tcW w:w="850"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2,000,000.00</w:t>
            </w:r>
          </w:p>
        </w:tc>
        <w:tc>
          <w:tcPr>
            <w:tcW w:w="709"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rPr>
                <w:rFonts w:ascii="宋体" w:eastAsia="宋体" w:hAnsi="宋体" w:cs="宋体"/>
                <w:sz w:val="18"/>
                <w:szCs w:val="18"/>
              </w:rPr>
            </w:pPr>
          </w:p>
        </w:tc>
      </w:tr>
      <w:tr w:rsidR="005E250D" w:rsidTr="00F85495">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rPr>
                <w:rFonts w:ascii="宋体" w:eastAsia="宋体" w:hAnsi="宋体" w:cs="宋体"/>
                <w:sz w:val="18"/>
                <w:szCs w:val="18"/>
              </w:rPr>
            </w:pPr>
            <w:r>
              <w:rPr>
                <w:rFonts w:ascii="宋体" w:eastAsia="宋体" w:hAnsi="宋体" w:cs="宋体"/>
                <w:sz w:val="18"/>
                <w:szCs w:val="18"/>
              </w:rPr>
              <w:t>其中：深圳陆巡科技有限公司</w:t>
            </w:r>
          </w:p>
        </w:tc>
        <w:tc>
          <w:tcPr>
            <w:tcW w:w="1418"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Pr>
                <w:rFonts w:ascii="宋体" w:eastAsia="宋体" w:hAnsi="宋体" w:cs="宋体"/>
                <w:sz w:val="18"/>
                <w:szCs w:val="18"/>
              </w:rPr>
              <w:t>58,611,906.40</w:t>
            </w:r>
          </w:p>
        </w:tc>
        <w:tc>
          <w:tcPr>
            <w:tcW w:w="1417"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Pr>
                <w:rFonts w:ascii="宋体" w:eastAsia="宋体" w:hAnsi="宋体" w:cs="宋体"/>
                <w:sz w:val="18"/>
                <w:szCs w:val="18"/>
              </w:rPr>
              <w:t>57,770,311.20</w:t>
            </w:r>
          </w:p>
        </w:tc>
        <w:tc>
          <w:tcPr>
            <w:tcW w:w="1276"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10,841,595.20</w:t>
            </w:r>
          </w:p>
        </w:tc>
        <w:tc>
          <w:tcPr>
            <w:tcW w:w="992"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48,611,906.40</w:t>
            </w:r>
          </w:p>
        </w:tc>
        <w:tc>
          <w:tcPr>
            <w:tcW w:w="850"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rPr>
                <w:rFonts w:ascii="宋体" w:eastAsia="宋体" w:hAnsi="宋体" w:cs="宋体"/>
                <w:sz w:val="18"/>
                <w:szCs w:val="18"/>
              </w:rPr>
            </w:pPr>
            <w:r w:rsidRPr="000C166D">
              <w:rPr>
                <w:rFonts w:ascii="宋体" w:eastAsia="宋体" w:hAnsi="宋体" w:cs="宋体" w:hint="eastAsia"/>
                <w:sz w:val="18"/>
                <w:szCs w:val="18"/>
              </w:rPr>
              <w:t>不以出售为目的</w:t>
            </w:r>
          </w:p>
        </w:tc>
      </w:tr>
      <w:tr w:rsidR="005E250D" w:rsidTr="00F85495">
        <w:trPr>
          <w:trHeight w:val="240"/>
        </w:trPr>
        <w:tc>
          <w:tcPr>
            <w:tcW w:w="1843"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rPr>
                <w:rFonts w:ascii="宋体" w:eastAsia="宋体" w:hAnsi="宋体" w:cs="宋体"/>
                <w:sz w:val="18"/>
                <w:szCs w:val="18"/>
              </w:rPr>
            </w:pPr>
            <w:proofErr w:type="gramStart"/>
            <w:r w:rsidRPr="00D1578B">
              <w:rPr>
                <w:rFonts w:ascii="宋体" w:eastAsia="宋体" w:hAnsi="宋体" w:cs="宋体" w:hint="eastAsia"/>
                <w:sz w:val="18"/>
                <w:szCs w:val="18"/>
              </w:rPr>
              <w:t>全联众创科技</w:t>
            </w:r>
            <w:proofErr w:type="gramEnd"/>
            <w:r w:rsidRPr="00D1578B">
              <w:rPr>
                <w:rFonts w:ascii="宋体" w:eastAsia="宋体" w:hAnsi="宋体" w:cs="宋体" w:hint="eastAsia"/>
                <w:sz w:val="18"/>
                <w:szCs w:val="18"/>
              </w:rPr>
              <w:t>发展有限公司</w:t>
            </w:r>
          </w:p>
        </w:tc>
        <w:tc>
          <w:tcPr>
            <w:tcW w:w="1418"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Pr>
                <w:rFonts w:ascii="宋体" w:eastAsia="宋体" w:hAnsi="宋体" w:cs="宋体" w:hint="eastAsia"/>
                <w:sz w:val="18"/>
                <w:szCs w:val="18"/>
              </w:rPr>
              <w:t>0</w:t>
            </w:r>
            <w:r>
              <w:rPr>
                <w:rFonts w:ascii="宋体" w:eastAsia="宋体" w:hAnsi="宋体" w:cs="宋体"/>
                <w:sz w:val="18"/>
                <w:szCs w:val="18"/>
              </w:rPr>
              <w:t>.00</w:t>
            </w:r>
          </w:p>
        </w:tc>
        <w:tc>
          <w:tcPr>
            <w:tcW w:w="1417"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Pr>
                <w:rFonts w:ascii="宋体" w:eastAsia="宋体" w:hAnsi="宋体" w:cs="宋体" w:hint="eastAsia"/>
                <w:sz w:val="18"/>
                <w:szCs w:val="18"/>
              </w:rPr>
              <w:t>0</w:t>
            </w:r>
            <w:r>
              <w:rPr>
                <w:rFonts w:ascii="宋体" w:eastAsia="宋体" w:hAnsi="宋体" w:cs="宋体"/>
                <w:sz w:val="18"/>
                <w:szCs w:val="18"/>
              </w:rPr>
              <w:t>.00</w:t>
            </w:r>
          </w:p>
        </w:tc>
        <w:tc>
          <w:tcPr>
            <w:tcW w:w="1276"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2,000,000.00</w:t>
            </w:r>
          </w:p>
        </w:tc>
        <w:tc>
          <w:tcPr>
            <w:tcW w:w="709"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5E250D" w:rsidRDefault="001315C0" w:rsidP="005E250D">
            <w:pPr>
              <w:spacing w:line="240" w:lineRule="exact"/>
              <w:rPr>
                <w:rFonts w:ascii="宋体" w:eastAsia="宋体" w:hAnsi="宋体" w:cs="宋体"/>
                <w:sz w:val="18"/>
                <w:szCs w:val="18"/>
              </w:rPr>
            </w:pPr>
            <w:r w:rsidRPr="000C166D">
              <w:rPr>
                <w:rFonts w:ascii="宋体" w:eastAsia="宋体" w:hAnsi="宋体" w:cs="宋体" w:hint="eastAsia"/>
                <w:sz w:val="18"/>
                <w:szCs w:val="18"/>
              </w:rPr>
              <w:t>不以出售为目的</w:t>
            </w:r>
          </w:p>
        </w:tc>
      </w:tr>
      <w:tr w:rsidR="005E250D" w:rsidTr="00F85495">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5E250D" w:rsidRDefault="005E250D" w:rsidP="005E250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418"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Pr>
                <w:rFonts w:ascii="宋体" w:eastAsia="宋体" w:hAnsi="宋体" w:cs="宋体"/>
                <w:sz w:val="18"/>
                <w:szCs w:val="18"/>
              </w:rPr>
              <w:t>58,611,906.40</w:t>
            </w:r>
          </w:p>
        </w:tc>
        <w:tc>
          <w:tcPr>
            <w:tcW w:w="1417"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Pr>
                <w:rFonts w:ascii="宋体" w:eastAsia="宋体" w:hAnsi="宋体" w:cs="宋体"/>
                <w:sz w:val="18"/>
                <w:szCs w:val="18"/>
              </w:rPr>
              <w:t>57,770,311.20</w:t>
            </w:r>
          </w:p>
        </w:tc>
        <w:tc>
          <w:tcPr>
            <w:tcW w:w="1276"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10,841,595.20</w:t>
            </w:r>
          </w:p>
        </w:tc>
        <w:tc>
          <w:tcPr>
            <w:tcW w:w="992"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48,611,906.40</w:t>
            </w:r>
          </w:p>
        </w:tc>
        <w:tc>
          <w:tcPr>
            <w:tcW w:w="850"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2,000,000.00</w:t>
            </w:r>
          </w:p>
        </w:tc>
        <w:tc>
          <w:tcPr>
            <w:tcW w:w="709"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5E250D" w:rsidRDefault="005E250D" w:rsidP="005E250D"/>
        </w:tc>
      </w:tr>
    </w:tbl>
    <w:p w:rsidR="005E250D" w:rsidRDefault="005E250D" w:rsidP="005E250D">
      <w:pPr>
        <w:spacing w:before="100" w:after="100" w:line="240" w:lineRule="exact"/>
        <w:rPr>
          <w:rFonts w:ascii="宋体" w:eastAsia="宋体" w:hAnsi="宋体" w:cs="宋体"/>
          <w:sz w:val="18"/>
          <w:szCs w:val="18"/>
        </w:rPr>
      </w:pPr>
      <w:bookmarkStart w:id="258" w:name="_Toc989142"/>
      <w:r>
        <w:rPr>
          <w:rFonts w:ascii="宋体" w:eastAsia="宋体" w:hAnsi="宋体" w:cs="宋体" w:hint="eastAsia"/>
          <w:sz w:val="18"/>
          <w:szCs w:val="18"/>
        </w:rPr>
        <w:t>分项披露</w:t>
      </w:r>
      <w:proofErr w:type="gramStart"/>
      <w:r>
        <w:rPr>
          <w:rFonts w:ascii="宋体" w:eastAsia="宋体" w:hAnsi="宋体" w:cs="宋体" w:hint="eastAsia"/>
          <w:sz w:val="18"/>
          <w:szCs w:val="18"/>
        </w:rPr>
        <w:t>本期非交易</w:t>
      </w:r>
      <w:proofErr w:type="gramEnd"/>
      <w:r>
        <w:rPr>
          <w:rFonts w:ascii="宋体" w:eastAsia="宋体" w:hAnsi="宋体" w:cs="宋体" w:hint="eastAsia"/>
          <w:sz w:val="18"/>
          <w:szCs w:val="18"/>
        </w:rPr>
        <w:t>性权益工具投资</w:t>
      </w:r>
    </w:p>
    <w:p w:rsidR="005E250D" w:rsidRDefault="005E250D" w:rsidP="005E250D">
      <w:pPr>
        <w:spacing w:before="120" w:after="12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1023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76"/>
        <w:gridCol w:w="1207"/>
        <w:gridCol w:w="1417"/>
        <w:gridCol w:w="1559"/>
        <w:gridCol w:w="1560"/>
        <w:gridCol w:w="1842"/>
        <w:gridCol w:w="1276"/>
      </w:tblGrid>
      <w:tr w:rsidR="005E250D" w:rsidTr="00A83241">
        <w:trPr>
          <w:trHeight w:val="240"/>
        </w:trPr>
        <w:tc>
          <w:tcPr>
            <w:tcW w:w="13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5E250D" w:rsidRDefault="005E250D" w:rsidP="00A83241">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项目名称</w:t>
            </w:r>
          </w:p>
        </w:tc>
        <w:tc>
          <w:tcPr>
            <w:tcW w:w="120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5E250D" w:rsidRDefault="005E250D" w:rsidP="00A83241">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确认的股利收入</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5E250D" w:rsidRDefault="005E250D" w:rsidP="00A83241">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累计利得</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5E250D" w:rsidRDefault="005E250D" w:rsidP="00A83241">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累计损失</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5E250D" w:rsidRDefault="005E250D" w:rsidP="00A83241">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其他综合收益转入留存收益的金额</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5E250D" w:rsidRDefault="005E250D" w:rsidP="00A83241">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指定为以公允价值计量且其变动计入其他综合收益的原因</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5E250D" w:rsidRDefault="005E250D" w:rsidP="00A83241">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其他综合收益转入留存收益的原因</w:t>
            </w:r>
          </w:p>
        </w:tc>
      </w:tr>
      <w:tr w:rsidR="005E250D" w:rsidTr="00A83241">
        <w:trPr>
          <w:trHeight w:val="240"/>
        </w:trPr>
        <w:tc>
          <w:tcPr>
            <w:tcW w:w="1376" w:type="dxa"/>
            <w:tcBorders>
              <w:top w:val="single" w:sz="2" w:space="0" w:color="auto"/>
              <w:left w:val="single" w:sz="2" w:space="0" w:color="auto"/>
              <w:bottom w:val="single" w:sz="2" w:space="0" w:color="auto"/>
              <w:right w:val="single" w:sz="2" w:space="0" w:color="auto"/>
            </w:tcBorders>
            <w:vAlign w:val="center"/>
            <w:hideMark/>
          </w:tcPr>
          <w:p w:rsidR="005E250D" w:rsidRDefault="005E250D" w:rsidP="00A83241">
            <w:pPr>
              <w:spacing w:line="240" w:lineRule="exact"/>
              <w:rPr>
                <w:rFonts w:ascii="宋体" w:eastAsia="宋体" w:hAnsi="宋体" w:cs="宋体"/>
                <w:sz w:val="18"/>
                <w:szCs w:val="18"/>
              </w:rPr>
            </w:pPr>
            <w:r>
              <w:rPr>
                <w:rFonts w:ascii="宋体" w:eastAsia="宋体" w:hAnsi="宋体" w:cs="宋体" w:hint="eastAsia"/>
                <w:sz w:val="18"/>
                <w:szCs w:val="18"/>
              </w:rPr>
              <w:t>深圳陆巡科技有限公司</w:t>
            </w:r>
          </w:p>
        </w:tc>
        <w:tc>
          <w:tcPr>
            <w:tcW w:w="1207" w:type="dxa"/>
            <w:tcBorders>
              <w:top w:val="single" w:sz="2" w:space="0" w:color="auto"/>
              <w:left w:val="single" w:sz="2" w:space="0" w:color="auto"/>
              <w:bottom w:val="single" w:sz="2" w:space="0" w:color="auto"/>
              <w:right w:val="single" w:sz="2" w:space="0" w:color="auto"/>
            </w:tcBorders>
            <w:vAlign w:val="center"/>
          </w:tcPr>
          <w:p w:rsidR="005E250D" w:rsidRDefault="005E250D" w:rsidP="00A8324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hideMark/>
          </w:tcPr>
          <w:p w:rsidR="005E250D" w:rsidRDefault="005E250D" w:rsidP="00A83241">
            <w:pPr>
              <w:spacing w:line="240" w:lineRule="exact"/>
              <w:jc w:val="right"/>
              <w:rPr>
                <w:rFonts w:ascii="宋体" w:eastAsia="宋体" w:hAnsi="宋体" w:cs="宋体"/>
                <w:sz w:val="18"/>
                <w:szCs w:val="18"/>
              </w:rPr>
            </w:pPr>
            <w:r>
              <w:rPr>
                <w:rFonts w:ascii="宋体" w:eastAsia="宋体" w:hAnsi="宋体" w:cs="宋体" w:hint="eastAsia"/>
                <w:sz w:val="18"/>
                <w:szCs w:val="18"/>
              </w:rPr>
              <w:t>48,611,906.40</w:t>
            </w:r>
          </w:p>
        </w:tc>
        <w:tc>
          <w:tcPr>
            <w:tcW w:w="1559" w:type="dxa"/>
            <w:tcBorders>
              <w:top w:val="single" w:sz="2" w:space="0" w:color="auto"/>
              <w:left w:val="single" w:sz="2" w:space="0" w:color="auto"/>
              <w:bottom w:val="single" w:sz="2" w:space="0" w:color="auto"/>
              <w:right w:val="single" w:sz="2" w:space="0" w:color="auto"/>
            </w:tcBorders>
            <w:vAlign w:val="center"/>
            <w:hideMark/>
          </w:tcPr>
          <w:p w:rsidR="005E250D" w:rsidRDefault="005E250D" w:rsidP="00A83241">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1560" w:type="dxa"/>
            <w:tcBorders>
              <w:top w:val="single" w:sz="2" w:space="0" w:color="auto"/>
              <w:left w:val="single" w:sz="2" w:space="0" w:color="auto"/>
              <w:bottom w:val="single" w:sz="2" w:space="0" w:color="auto"/>
              <w:right w:val="single" w:sz="2" w:space="0" w:color="auto"/>
            </w:tcBorders>
            <w:vAlign w:val="center"/>
            <w:hideMark/>
          </w:tcPr>
          <w:p w:rsidR="005E250D" w:rsidRDefault="005E250D" w:rsidP="00A83241">
            <w:pPr>
              <w:spacing w:line="240" w:lineRule="exact"/>
              <w:jc w:val="right"/>
              <w:rPr>
                <w:rFonts w:ascii="宋体" w:eastAsia="宋体" w:hAnsi="宋体" w:cs="宋体"/>
                <w:sz w:val="18"/>
                <w:szCs w:val="18"/>
              </w:rPr>
            </w:pPr>
            <w:r>
              <w:rPr>
                <w:rFonts w:ascii="宋体" w:eastAsia="宋体" w:hAnsi="宋体" w:cs="宋体" w:hint="eastAsia"/>
                <w:sz w:val="18"/>
                <w:szCs w:val="18"/>
              </w:rPr>
              <w:t>4,674,974.84</w:t>
            </w:r>
          </w:p>
        </w:tc>
        <w:tc>
          <w:tcPr>
            <w:tcW w:w="1842" w:type="dxa"/>
            <w:tcBorders>
              <w:top w:val="single" w:sz="2" w:space="0" w:color="auto"/>
              <w:left w:val="single" w:sz="2" w:space="0" w:color="auto"/>
              <w:bottom w:val="single" w:sz="2" w:space="0" w:color="auto"/>
              <w:right w:val="single" w:sz="2" w:space="0" w:color="auto"/>
            </w:tcBorders>
            <w:vAlign w:val="center"/>
            <w:hideMark/>
          </w:tcPr>
          <w:p w:rsidR="005E250D" w:rsidRDefault="005E250D" w:rsidP="00A83241">
            <w:pPr>
              <w:spacing w:line="240" w:lineRule="exact"/>
              <w:rPr>
                <w:rFonts w:ascii="宋体" w:eastAsia="宋体" w:hAnsi="宋体" w:cs="宋体"/>
                <w:sz w:val="18"/>
                <w:szCs w:val="18"/>
              </w:rPr>
            </w:pPr>
            <w:r>
              <w:rPr>
                <w:rFonts w:ascii="宋体" w:eastAsia="宋体" w:hAnsi="宋体" w:cs="宋体" w:hint="eastAsia"/>
                <w:sz w:val="18"/>
                <w:szCs w:val="18"/>
              </w:rPr>
              <w:t>不以出售为目的</w:t>
            </w:r>
          </w:p>
        </w:tc>
        <w:tc>
          <w:tcPr>
            <w:tcW w:w="1276" w:type="dxa"/>
            <w:tcBorders>
              <w:top w:val="single" w:sz="2" w:space="0" w:color="auto"/>
              <w:left w:val="single" w:sz="2" w:space="0" w:color="auto"/>
              <w:bottom w:val="single" w:sz="2" w:space="0" w:color="auto"/>
              <w:right w:val="single" w:sz="2" w:space="0" w:color="auto"/>
            </w:tcBorders>
            <w:vAlign w:val="center"/>
            <w:hideMark/>
          </w:tcPr>
          <w:p w:rsidR="005E250D" w:rsidRDefault="005E250D" w:rsidP="00A83241">
            <w:pPr>
              <w:spacing w:line="240" w:lineRule="exact"/>
              <w:rPr>
                <w:rFonts w:ascii="宋体" w:eastAsia="宋体" w:hAnsi="宋体" w:cs="宋体"/>
                <w:sz w:val="18"/>
                <w:szCs w:val="18"/>
              </w:rPr>
            </w:pPr>
            <w:r>
              <w:rPr>
                <w:rFonts w:ascii="宋体" w:eastAsia="宋体" w:hAnsi="宋体" w:cs="宋体" w:hint="eastAsia"/>
                <w:sz w:val="18"/>
                <w:szCs w:val="18"/>
              </w:rPr>
              <w:t>本期转让部分股权</w:t>
            </w:r>
          </w:p>
        </w:tc>
      </w:tr>
      <w:tr w:rsidR="005E250D" w:rsidTr="00A83241">
        <w:trPr>
          <w:trHeight w:val="240"/>
        </w:trPr>
        <w:tc>
          <w:tcPr>
            <w:tcW w:w="1376" w:type="dxa"/>
            <w:tcBorders>
              <w:top w:val="single" w:sz="2" w:space="0" w:color="auto"/>
              <w:left w:val="single" w:sz="2" w:space="0" w:color="auto"/>
              <w:bottom w:val="single" w:sz="2" w:space="0" w:color="auto"/>
              <w:right w:val="single" w:sz="2" w:space="0" w:color="auto"/>
            </w:tcBorders>
            <w:vAlign w:val="center"/>
            <w:hideMark/>
          </w:tcPr>
          <w:p w:rsidR="005E250D" w:rsidRDefault="005E250D" w:rsidP="00A83241">
            <w:pPr>
              <w:spacing w:line="240" w:lineRule="exact"/>
              <w:rPr>
                <w:rFonts w:ascii="宋体" w:eastAsia="宋体" w:hAnsi="宋体" w:cs="宋体"/>
                <w:sz w:val="18"/>
                <w:szCs w:val="18"/>
              </w:rPr>
            </w:pPr>
            <w:proofErr w:type="gramStart"/>
            <w:r>
              <w:rPr>
                <w:rFonts w:ascii="宋体" w:eastAsia="宋体" w:hAnsi="宋体" w:cs="宋体" w:hint="eastAsia"/>
                <w:sz w:val="18"/>
                <w:szCs w:val="18"/>
              </w:rPr>
              <w:t>全联众创科技</w:t>
            </w:r>
            <w:proofErr w:type="gramEnd"/>
            <w:r>
              <w:rPr>
                <w:rFonts w:ascii="宋体" w:eastAsia="宋体" w:hAnsi="宋体" w:cs="宋体" w:hint="eastAsia"/>
                <w:sz w:val="18"/>
                <w:szCs w:val="18"/>
              </w:rPr>
              <w:t>发展有限公司</w:t>
            </w:r>
          </w:p>
        </w:tc>
        <w:tc>
          <w:tcPr>
            <w:tcW w:w="1207" w:type="dxa"/>
            <w:tcBorders>
              <w:top w:val="single" w:sz="2" w:space="0" w:color="auto"/>
              <w:left w:val="single" w:sz="2" w:space="0" w:color="auto"/>
              <w:bottom w:val="single" w:sz="2" w:space="0" w:color="auto"/>
              <w:right w:val="single" w:sz="2" w:space="0" w:color="auto"/>
            </w:tcBorders>
            <w:vAlign w:val="center"/>
          </w:tcPr>
          <w:p w:rsidR="005E250D" w:rsidRDefault="005E250D" w:rsidP="00A83241">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hideMark/>
          </w:tcPr>
          <w:p w:rsidR="005E250D" w:rsidRDefault="005E250D" w:rsidP="00A83241">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1559" w:type="dxa"/>
            <w:tcBorders>
              <w:top w:val="single" w:sz="2" w:space="0" w:color="auto"/>
              <w:left w:val="single" w:sz="2" w:space="0" w:color="auto"/>
              <w:bottom w:val="single" w:sz="2" w:space="0" w:color="auto"/>
              <w:right w:val="single" w:sz="2" w:space="0" w:color="auto"/>
            </w:tcBorders>
            <w:vAlign w:val="center"/>
            <w:hideMark/>
          </w:tcPr>
          <w:p w:rsidR="005E250D" w:rsidRDefault="005E250D" w:rsidP="00A83241">
            <w:pPr>
              <w:spacing w:line="240" w:lineRule="exact"/>
              <w:jc w:val="right"/>
              <w:rPr>
                <w:rFonts w:ascii="宋体" w:eastAsia="宋体" w:hAnsi="宋体" w:cs="宋体"/>
                <w:sz w:val="18"/>
                <w:szCs w:val="18"/>
              </w:rPr>
            </w:pPr>
            <w:r>
              <w:rPr>
                <w:rFonts w:ascii="宋体" w:eastAsia="宋体" w:hAnsi="宋体" w:cs="宋体" w:hint="eastAsia"/>
                <w:sz w:val="18"/>
                <w:szCs w:val="18"/>
              </w:rPr>
              <w:t>2,000,000.00</w:t>
            </w:r>
          </w:p>
        </w:tc>
        <w:tc>
          <w:tcPr>
            <w:tcW w:w="1560" w:type="dxa"/>
            <w:tcBorders>
              <w:top w:val="single" w:sz="2" w:space="0" w:color="auto"/>
              <w:left w:val="single" w:sz="2" w:space="0" w:color="auto"/>
              <w:bottom w:val="single" w:sz="2" w:space="0" w:color="auto"/>
              <w:right w:val="single" w:sz="2" w:space="0" w:color="auto"/>
            </w:tcBorders>
            <w:vAlign w:val="center"/>
            <w:hideMark/>
          </w:tcPr>
          <w:p w:rsidR="005E250D" w:rsidRDefault="005E250D" w:rsidP="00A83241">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hideMark/>
          </w:tcPr>
          <w:p w:rsidR="005E250D" w:rsidRDefault="005E250D" w:rsidP="00A83241">
            <w:pPr>
              <w:spacing w:line="240" w:lineRule="exact"/>
              <w:rPr>
                <w:rFonts w:ascii="宋体" w:eastAsia="宋体" w:hAnsi="宋体" w:cs="宋体"/>
                <w:sz w:val="18"/>
                <w:szCs w:val="18"/>
              </w:rPr>
            </w:pPr>
            <w:r>
              <w:rPr>
                <w:rFonts w:ascii="宋体" w:eastAsia="宋体" w:hAnsi="宋体" w:cs="宋体" w:hint="eastAsia"/>
                <w:sz w:val="18"/>
                <w:szCs w:val="18"/>
              </w:rPr>
              <w:t>不以出售为目的</w:t>
            </w:r>
          </w:p>
        </w:tc>
        <w:tc>
          <w:tcPr>
            <w:tcW w:w="1276" w:type="dxa"/>
            <w:tcBorders>
              <w:top w:val="single" w:sz="2" w:space="0" w:color="auto"/>
              <w:left w:val="single" w:sz="2" w:space="0" w:color="auto"/>
              <w:bottom w:val="single" w:sz="2" w:space="0" w:color="auto"/>
              <w:right w:val="single" w:sz="2" w:space="0" w:color="auto"/>
            </w:tcBorders>
            <w:vAlign w:val="center"/>
          </w:tcPr>
          <w:p w:rsidR="005E250D" w:rsidRDefault="005E250D" w:rsidP="00A83241">
            <w:pPr>
              <w:spacing w:line="240" w:lineRule="exact"/>
              <w:rPr>
                <w:rFonts w:ascii="宋体" w:eastAsia="宋体" w:hAnsi="宋体" w:cs="宋体"/>
                <w:sz w:val="18"/>
                <w:szCs w:val="18"/>
              </w:rPr>
            </w:pPr>
          </w:p>
        </w:tc>
      </w:tr>
    </w:tbl>
    <w:p w:rsidR="00A27D66" w:rsidRDefault="00A2119D">
      <w:pPr>
        <w:pStyle w:val="3"/>
        <w:spacing w:line="280" w:lineRule="exact"/>
        <w:jc w:val="left"/>
        <w:rPr>
          <w:rFonts w:ascii="宋体" w:hAnsi="宋体" w:cs="宋体"/>
          <w:b/>
          <w:bCs/>
        </w:rPr>
      </w:pPr>
      <w:r>
        <w:rPr>
          <w:rFonts w:ascii="宋体" w:hAnsi="宋体" w:cs="宋体"/>
          <w:b/>
          <w:bCs/>
        </w:rPr>
        <w:t>11、长期应收款</w:t>
      </w:r>
      <w:bookmarkEnd w:id="258"/>
    </w:p>
    <w:p w:rsidR="00A27D66" w:rsidRDefault="00A2119D">
      <w:pPr>
        <w:keepNext/>
        <w:keepLines/>
        <w:spacing w:before="300" w:after="300" w:line="280" w:lineRule="exact"/>
        <w:outlineLvl w:val="3"/>
        <w:rPr>
          <w:rFonts w:ascii="宋体" w:eastAsia="宋体" w:hAnsi="宋体" w:cs="宋体"/>
          <w:b/>
          <w:bCs/>
          <w:szCs w:val="21"/>
        </w:rPr>
      </w:pPr>
      <w:bookmarkStart w:id="259" w:name="_Toc989143"/>
      <w:r>
        <w:rPr>
          <w:rFonts w:ascii="宋体" w:eastAsia="宋体" w:hAnsi="宋体" w:cs="宋体"/>
          <w:b/>
          <w:bCs/>
          <w:szCs w:val="21"/>
        </w:rPr>
        <w:t>（1） 长期应收款情况</w:t>
      </w:r>
      <w:bookmarkEnd w:id="259"/>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418"/>
        <w:gridCol w:w="992"/>
        <w:gridCol w:w="1418"/>
        <w:gridCol w:w="992"/>
      </w:tblGrid>
      <w:tr w:rsidR="00A27D66" w:rsidTr="00F85495">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615"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2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折现率区间</w:t>
            </w:r>
          </w:p>
        </w:tc>
      </w:tr>
      <w:tr w:rsidR="00A27D66" w:rsidTr="00F85495">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F85495">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融资租赁款</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4,677,182.20</w:t>
            </w:r>
          </w:p>
        </w:tc>
        <w:tc>
          <w:tcPr>
            <w:tcW w:w="99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4,677,182.20</w:t>
            </w:r>
          </w:p>
        </w:tc>
        <w:tc>
          <w:tcPr>
            <w:tcW w:w="99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F85495">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F85495">
            <w:pPr>
              <w:spacing w:before="40" w:after="40" w:line="240" w:lineRule="exact"/>
              <w:rPr>
                <w:rFonts w:ascii="宋体" w:eastAsia="宋体" w:hAnsi="宋体" w:cs="宋体"/>
                <w:sz w:val="18"/>
                <w:szCs w:val="18"/>
              </w:rPr>
            </w:pPr>
            <w:r>
              <w:rPr>
                <w:rFonts w:ascii="宋体" w:eastAsia="宋体" w:hAnsi="宋体" w:cs="宋体"/>
                <w:sz w:val="18"/>
                <w:szCs w:val="18"/>
              </w:rPr>
              <w:t>其中：未实现融资收益</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106,150.80</w:t>
            </w:r>
          </w:p>
        </w:tc>
        <w:tc>
          <w:tcPr>
            <w:tcW w:w="99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106,150.80</w:t>
            </w:r>
          </w:p>
        </w:tc>
        <w:tc>
          <w:tcPr>
            <w:tcW w:w="99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rsidTr="00F85495">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4,677,182.20</w:t>
            </w:r>
          </w:p>
        </w:tc>
        <w:tc>
          <w:tcPr>
            <w:tcW w:w="992"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4,677,182.20</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pStyle w:val="3"/>
        <w:spacing w:line="280" w:lineRule="exact"/>
        <w:jc w:val="left"/>
        <w:rPr>
          <w:rFonts w:ascii="宋体" w:hAnsi="宋体" w:cs="宋体"/>
          <w:b/>
          <w:bCs/>
        </w:rPr>
      </w:pPr>
      <w:bookmarkStart w:id="260" w:name="_Toc989144"/>
      <w:r>
        <w:rPr>
          <w:rFonts w:ascii="宋体" w:hAnsi="宋体" w:cs="宋体"/>
          <w:b/>
          <w:bCs/>
        </w:rPr>
        <w:t>12、长期股权投资</w:t>
      </w:r>
      <w:bookmarkEnd w:id="260"/>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741"/>
        <w:gridCol w:w="741"/>
        <w:gridCol w:w="741"/>
        <w:gridCol w:w="741"/>
        <w:gridCol w:w="44"/>
        <w:gridCol w:w="697"/>
        <w:gridCol w:w="741"/>
        <w:gridCol w:w="741"/>
        <w:gridCol w:w="741"/>
        <w:gridCol w:w="741"/>
        <w:gridCol w:w="741"/>
        <w:gridCol w:w="745"/>
        <w:gridCol w:w="741"/>
        <w:gridCol w:w="743"/>
      </w:tblGrid>
      <w:tr w:rsidR="00A27D66" w:rsidTr="007E203F">
        <w:trPr>
          <w:trHeight w:val="240"/>
        </w:trPr>
        <w:tc>
          <w:tcPr>
            <w:tcW w:w="741" w:type="dxa"/>
            <w:vMerge w:val="restart"/>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741" w:type="dxa"/>
            <w:vMerge w:val="restart"/>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41" w:type="dxa"/>
            <w:vMerge w:val="restart"/>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932" w:type="dxa"/>
            <w:gridSpan w:val="9"/>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741" w:type="dxa"/>
            <w:vMerge w:val="restart"/>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43" w:type="dxa"/>
            <w:vMerge w:val="restart"/>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A27D66" w:rsidTr="007E203F">
        <w:trPr>
          <w:trHeight w:val="240"/>
        </w:trPr>
        <w:tc>
          <w:tcPr>
            <w:tcW w:w="741" w:type="dxa"/>
            <w:vMerge/>
            <w:tcBorders>
              <w:bottom w:val="single" w:sz="2" w:space="0" w:color="auto"/>
            </w:tcBorders>
            <w:shd w:val="pct15" w:color="auto" w:fill="FFFFFF" w:themeFill="background1"/>
            <w:vAlign w:val="center"/>
          </w:tcPr>
          <w:p w:rsidR="00A27D66" w:rsidRDefault="00A27D66" w:rsidP="006C626B">
            <w:pPr>
              <w:spacing w:line="240" w:lineRule="exact"/>
            </w:pPr>
          </w:p>
        </w:tc>
        <w:tc>
          <w:tcPr>
            <w:tcW w:w="741" w:type="dxa"/>
            <w:vMerge/>
            <w:tcBorders>
              <w:bottom w:val="single" w:sz="2" w:space="0" w:color="auto"/>
            </w:tcBorders>
            <w:shd w:val="pct15" w:color="auto" w:fill="FFFFFF" w:themeFill="background1"/>
            <w:vAlign w:val="center"/>
          </w:tcPr>
          <w:p w:rsidR="00A27D66" w:rsidRDefault="00A27D66" w:rsidP="006C626B">
            <w:pPr>
              <w:spacing w:line="240" w:lineRule="exact"/>
            </w:pPr>
          </w:p>
        </w:tc>
        <w:tc>
          <w:tcPr>
            <w:tcW w:w="741" w:type="dxa"/>
            <w:vMerge/>
            <w:tcBorders>
              <w:bottom w:val="single" w:sz="2" w:space="0" w:color="auto"/>
            </w:tcBorders>
            <w:shd w:val="pct15" w:color="auto" w:fill="FFFFFF" w:themeFill="background1"/>
            <w:vAlign w:val="center"/>
          </w:tcPr>
          <w:p w:rsidR="00A27D66" w:rsidRDefault="00A27D66" w:rsidP="006C626B">
            <w:pPr>
              <w:spacing w:line="240" w:lineRule="exact"/>
            </w:pPr>
          </w:p>
        </w:tc>
        <w:tc>
          <w:tcPr>
            <w:tcW w:w="785" w:type="dxa"/>
            <w:gridSpan w:val="2"/>
            <w:tcBorders>
              <w:bottom w:val="single" w:sz="2" w:space="0" w:color="auto"/>
            </w:tcBorders>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697" w:type="dxa"/>
            <w:tcBorders>
              <w:bottom w:val="single" w:sz="2" w:space="0" w:color="auto"/>
            </w:tcBorders>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bottom w:val="single" w:sz="2" w:space="0" w:color="auto"/>
            </w:tcBorders>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741" w:type="dxa"/>
            <w:tcBorders>
              <w:bottom w:val="single" w:sz="2" w:space="0" w:color="auto"/>
            </w:tcBorders>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741" w:type="dxa"/>
            <w:tcBorders>
              <w:bottom w:val="single" w:sz="2" w:space="0" w:color="auto"/>
            </w:tcBorders>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741" w:type="dxa"/>
            <w:tcBorders>
              <w:bottom w:val="single" w:sz="2" w:space="0" w:color="auto"/>
            </w:tcBorders>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741" w:type="dxa"/>
            <w:tcBorders>
              <w:bottom w:val="single" w:sz="2" w:space="0" w:color="auto"/>
            </w:tcBorders>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745" w:type="dxa"/>
            <w:tcBorders>
              <w:bottom w:val="single" w:sz="2" w:space="0" w:color="auto"/>
            </w:tcBorders>
            <w:shd w:val="pct15" w:color="auto" w:fill="FFFFFF" w:themeFill="background1"/>
            <w:vAlign w:val="center"/>
          </w:tcPr>
          <w:p w:rsidR="00A27D66" w:rsidRDefault="00A2119D" w:rsidP="006C626B">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bottom w:val="single" w:sz="2" w:space="0" w:color="auto"/>
            </w:tcBorders>
            <w:shd w:val="pct15" w:color="auto" w:fill="FFFFFF" w:themeFill="background1"/>
            <w:vAlign w:val="center"/>
          </w:tcPr>
          <w:p w:rsidR="00A27D66" w:rsidRDefault="00A27D66" w:rsidP="006C626B">
            <w:pPr>
              <w:spacing w:line="240" w:lineRule="exact"/>
            </w:pPr>
          </w:p>
        </w:tc>
        <w:tc>
          <w:tcPr>
            <w:tcW w:w="743" w:type="dxa"/>
            <w:vMerge/>
            <w:tcBorders>
              <w:bottom w:val="single" w:sz="2" w:space="0" w:color="auto"/>
            </w:tcBorders>
            <w:shd w:val="pct15" w:color="auto" w:fill="FFFFFF" w:themeFill="background1"/>
            <w:vAlign w:val="center"/>
          </w:tcPr>
          <w:p w:rsidR="00A27D66" w:rsidRDefault="00A27D66" w:rsidP="006C626B">
            <w:pPr>
              <w:spacing w:line="240" w:lineRule="exact"/>
            </w:pPr>
          </w:p>
        </w:tc>
      </w:tr>
      <w:tr w:rsidR="00A27D66" w:rsidTr="007E203F">
        <w:trPr>
          <w:trHeight w:val="240"/>
        </w:trPr>
        <w:tc>
          <w:tcPr>
            <w:tcW w:w="9639" w:type="dxa"/>
            <w:gridSpan w:val="14"/>
            <w:shd w:val="pct15" w:color="auto" w:fill="FFFFFF" w:themeFill="background1"/>
            <w:vAlign w:val="center"/>
          </w:tcPr>
          <w:p w:rsidR="00A27D66" w:rsidRDefault="00A2119D" w:rsidP="006C626B">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F85495" w:rsidTr="00E71E53">
        <w:trPr>
          <w:trHeight w:val="240"/>
        </w:trPr>
        <w:tc>
          <w:tcPr>
            <w:tcW w:w="9639" w:type="dxa"/>
            <w:gridSpan w:val="14"/>
            <w:tcBorders>
              <w:bottom w:val="single" w:sz="2" w:space="0" w:color="auto"/>
            </w:tcBorders>
            <w:shd w:val="clear" w:color="auto" w:fill="FFFFFF" w:themeFill="background1"/>
            <w:vAlign w:val="center"/>
          </w:tcPr>
          <w:p w:rsidR="00F85495" w:rsidRDefault="00F85495" w:rsidP="006C626B">
            <w:pPr>
              <w:spacing w:before="40" w:after="40" w:line="240" w:lineRule="exact"/>
              <w:rPr>
                <w:rFonts w:ascii="宋体" w:eastAsia="宋体" w:hAnsi="宋体" w:cs="宋体"/>
                <w:sz w:val="18"/>
                <w:szCs w:val="18"/>
              </w:rPr>
            </w:pPr>
            <w:r>
              <w:rPr>
                <w:rFonts w:ascii="宋体" w:eastAsia="宋体" w:hAnsi="宋体" w:cs="宋体" w:hint="eastAsia"/>
                <w:sz w:val="18"/>
                <w:szCs w:val="18"/>
              </w:rPr>
              <w:t>无</w:t>
            </w:r>
          </w:p>
        </w:tc>
      </w:tr>
      <w:tr w:rsidR="00A27D66" w:rsidTr="00E71E53">
        <w:trPr>
          <w:trHeight w:val="240"/>
        </w:trPr>
        <w:tc>
          <w:tcPr>
            <w:tcW w:w="9639" w:type="dxa"/>
            <w:gridSpan w:val="14"/>
            <w:shd w:val="pct15" w:color="auto" w:fill="FFFFFF" w:themeFill="background1"/>
            <w:vAlign w:val="center"/>
          </w:tcPr>
          <w:p w:rsidR="00A27D66" w:rsidRDefault="00A2119D" w:rsidP="006C626B">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A27D66" w:rsidTr="00A73E55">
        <w:trPr>
          <w:trHeight w:val="240"/>
        </w:trPr>
        <w:tc>
          <w:tcPr>
            <w:tcW w:w="741" w:type="dxa"/>
            <w:shd w:val="clear" w:color="auto" w:fill="FFFFFF" w:themeFill="background1"/>
            <w:vAlign w:val="center"/>
          </w:tcPr>
          <w:p w:rsidR="00A27D66" w:rsidRDefault="00A2119D" w:rsidP="006C626B">
            <w:pPr>
              <w:spacing w:line="240" w:lineRule="exact"/>
              <w:rPr>
                <w:rFonts w:ascii="宋体" w:eastAsia="宋体" w:hAnsi="宋体" w:cs="宋体"/>
                <w:sz w:val="18"/>
                <w:szCs w:val="18"/>
              </w:rPr>
            </w:pPr>
            <w:r>
              <w:rPr>
                <w:rFonts w:ascii="宋体" w:eastAsia="宋体" w:hAnsi="宋体" w:cs="宋体"/>
                <w:sz w:val="18"/>
                <w:szCs w:val="18"/>
              </w:rPr>
              <w:t>苏州锴威特半导体股份</w:t>
            </w:r>
            <w:r>
              <w:rPr>
                <w:rFonts w:ascii="宋体" w:eastAsia="宋体" w:hAnsi="宋体" w:cs="宋体"/>
                <w:sz w:val="18"/>
                <w:szCs w:val="18"/>
              </w:rPr>
              <w:lastRenderedPageBreak/>
              <w:t>有限公司</w:t>
            </w:r>
          </w:p>
        </w:tc>
        <w:tc>
          <w:tcPr>
            <w:tcW w:w="741" w:type="dxa"/>
            <w:shd w:val="clear" w:color="auto" w:fill="FFFFFF" w:themeFill="background1"/>
            <w:vAlign w:val="center"/>
          </w:tcPr>
          <w:p w:rsidR="00A27D66" w:rsidRDefault="00A2119D" w:rsidP="006C626B">
            <w:pPr>
              <w:spacing w:line="240" w:lineRule="exact"/>
              <w:jc w:val="right"/>
              <w:rPr>
                <w:rFonts w:ascii="宋体" w:eastAsia="宋体" w:hAnsi="宋体" w:cs="宋体"/>
                <w:sz w:val="18"/>
                <w:szCs w:val="18"/>
              </w:rPr>
            </w:pPr>
            <w:r>
              <w:rPr>
                <w:rFonts w:ascii="宋体" w:eastAsia="宋体" w:hAnsi="宋体" w:cs="宋体"/>
                <w:sz w:val="18"/>
                <w:szCs w:val="18"/>
              </w:rPr>
              <w:lastRenderedPageBreak/>
              <w:t>206,078,629.50</w:t>
            </w: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gridSpan w:val="2"/>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D323D0" w:rsidP="006C626B">
            <w:pPr>
              <w:spacing w:line="240" w:lineRule="exact"/>
              <w:jc w:val="right"/>
              <w:rPr>
                <w:rFonts w:ascii="宋体" w:eastAsia="宋体" w:hAnsi="宋体" w:cs="宋体"/>
                <w:sz w:val="18"/>
                <w:szCs w:val="18"/>
              </w:rPr>
            </w:pPr>
            <w:r w:rsidRPr="00D323D0">
              <w:rPr>
                <w:rFonts w:ascii="宋体" w:eastAsia="宋体" w:hAnsi="宋体" w:cs="宋体"/>
                <w:sz w:val="18"/>
                <w:szCs w:val="18"/>
              </w:rPr>
              <w:t>-13,920,182.63</w:t>
            </w: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119D" w:rsidP="006C626B">
            <w:pPr>
              <w:spacing w:line="240" w:lineRule="exact"/>
              <w:jc w:val="right"/>
              <w:rPr>
                <w:rFonts w:ascii="宋体" w:eastAsia="宋体" w:hAnsi="宋体" w:cs="宋体"/>
                <w:sz w:val="18"/>
                <w:szCs w:val="18"/>
              </w:rPr>
            </w:pPr>
            <w:r>
              <w:rPr>
                <w:rFonts w:ascii="宋体" w:eastAsia="宋体" w:hAnsi="宋体" w:cs="宋体"/>
                <w:sz w:val="18"/>
                <w:szCs w:val="18"/>
              </w:rPr>
              <w:t>2,849,908.32</w:t>
            </w: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5"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D323D0" w:rsidP="006C626B">
            <w:pPr>
              <w:spacing w:line="240" w:lineRule="exact"/>
              <w:jc w:val="right"/>
              <w:rPr>
                <w:rFonts w:ascii="宋体" w:eastAsia="宋体" w:hAnsi="宋体" w:cs="宋体"/>
                <w:sz w:val="18"/>
                <w:szCs w:val="18"/>
              </w:rPr>
            </w:pPr>
            <w:r w:rsidRPr="00D323D0">
              <w:rPr>
                <w:rFonts w:ascii="宋体" w:eastAsia="宋体" w:hAnsi="宋体" w:cs="宋体"/>
                <w:sz w:val="18"/>
                <w:szCs w:val="18"/>
              </w:rPr>
              <w:t>189,308,538.55</w:t>
            </w:r>
          </w:p>
        </w:tc>
        <w:tc>
          <w:tcPr>
            <w:tcW w:w="743"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r>
      <w:tr w:rsidR="00A27D66" w:rsidTr="00A73E55">
        <w:trPr>
          <w:trHeight w:val="240"/>
        </w:trPr>
        <w:tc>
          <w:tcPr>
            <w:tcW w:w="741" w:type="dxa"/>
            <w:shd w:val="clear" w:color="auto" w:fill="FFFFFF" w:themeFill="background1"/>
            <w:vAlign w:val="center"/>
          </w:tcPr>
          <w:p w:rsidR="00A27D66" w:rsidRDefault="00A2119D" w:rsidP="006C626B">
            <w:pPr>
              <w:spacing w:line="240" w:lineRule="exact"/>
              <w:rPr>
                <w:rFonts w:ascii="宋体" w:eastAsia="宋体" w:hAnsi="宋体" w:cs="宋体"/>
                <w:sz w:val="18"/>
                <w:szCs w:val="18"/>
              </w:rPr>
            </w:pPr>
            <w:r>
              <w:rPr>
                <w:rFonts w:ascii="宋体" w:eastAsia="宋体" w:hAnsi="宋体" w:cs="宋体"/>
                <w:sz w:val="18"/>
                <w:szCs w:val="18"/>
              </w:rPr>
              <w:lastRenderedPageBreak/>
              <w:t>北京惠风联合防务科技有限公司</w:t>
            </w:r>
          </w:p>
        </w:tc>
        <w:tc>
          <w:tcPr>
            <w:tcW w:w="741" w:type="dxa"/>
            <w:shd w:val="clear" w:color="auto" w:fill="FFFFFF" w:themeFill="background1"/>
            <w:vAlign w:val="center"/>
          </w:tcPr>
          <w:p w:rsidR="00A27D66" w:rsidRDefault="00A2119D" w:rsidP="006C626B">
            <w:pPr>
              <w:spacing w:line="240" w:lineRule="exact"/>
              <w:jc w:val="right"/>
              <w:rPr>
                <w:rFonts w:ascii="宋体" w:eastAsia="宋体" w:hAnsi="宋体" w:cs="宋体"/>
                <w:sz w:val="18"/>
                <w:szCs w:val="18"/>
              </w:rPr>
            </w:pPr>
            <w:r>
              <w:rPr>
                <w:rFonts w:ascii="宋体" w:eastAsia="宋体" w:hAnsi="宋体" w:cs="宋体"/>
                <w:sz w:val="18"/>
                <w:szCs w:val="18"/>
              </w:rPr>
              <w:t>18,297,396.36</w:t>
            </w: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gridSpan w:val="2"/>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119D" w:rsidP="006C626B">
            <w:pPr>
              <w:spacing w:line="240" w:lineRule="exact"/>
              <w:jc w:val="right"/>
              <w:rPr>
                <w:rFonts w:ascii="宋体" w:eastAsia="宋体" w:hAnsi="宋体" w:cs="宋体"/>
                <w:sz w:val="18"/>
                <w:szCs w:val="18"/>
              </w:rPr>
            </w:pPr>
            <w:r>
              <w:rPr>
                <w:rFonts w:ascii="宋体" w:eastAsia="宋体" w:hAnsi="宋体" w:cs="宋体"/>
                <w:sz w:val="18"/>
                <w:szCs w:val="18"/>
              </w:rPr>
              <w:t>-816,376.21</w:t>
            </w: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5"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119D" w:rsidP="006C626B">
            <w:pPr>
              <w:spacing w:line="240" w:lineRule="exact"/>
              <w:jc w:val="right"/>
              <w:rPr>
                <w:rFonts w:ascii="宋体" w:eastAsia="宋体" w:hAnsi="宋体" w:cs="宋体"/>
                <w:sz w:val="18"/>
                <w:szCs w:val="18"/>
              </w:rPr>
            </w:pPr>
            <w:r>
              <w:rPr>
                <w:rFonts w:ascii="宋体" w:eastAsia="宋体" w:hAnsi="宋体" w:cs="宋体"/>
                <w:sz w:val="18"/>
                <w:szCs w:val="18"/>
              </w:rPr>
              <w:t>17,481,020.15</w:t>
            </w:r>
          </w:p>
        </w:tc>
        <w:tc>
          <w:tcPr>
            <w:tcW w:w="743"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r>
      <w:tr w:rsidR="00A27D66" w:rsidTr="00A73E55">
        <w:trPr>
          <w:trHeight w:val="240"/>
        </w:trPr>
        <w:tc>
          <w:tcPr>
            <w:tcW w:w="741" w:type="dxa"/>
            <w:shd w:val="clear" w:color="auto" w:fill="FFFFFF" w:themeFill="background1"/>
            <w:vAlign w:val="center"/>
          </w:tcPr>
          <w:p w:rsidR="00A27D66" w:rsidRDefault="00A2119D" w:rsidP="006C626B">
            <w:pPr>
              <w:spacing w:line="240" w:lineRule="exact"/>
              <w:rPr>
                <w:rFonts w:ascii="宋体" w:eastAsia="宋体" w:hAnsi="宋体" w:cs="宋体"/>
                <w:sz w:val="18"/>
                <w:szCs w:val="18"/>
              </w:rPr>
            </w:pPr>
            <w:r>
              <w:rPr>
                <w:rFonts w:ascii="宋体" w:eastAsia="宋体" w:hAnsi="宋体" w:cs="宋体"/>
                <w:sz w:val="18"/>
                <w:szCs w:val="18"/>
              </w:rPr>
              <w:t>芜湖华沅微电子有限公司</w:t>
            </w:r>
          </w:p>
        </w:tc>
        <w:tc>
          <w:tcPr>
            <w:tcW w:w="741" w:type="dxa"/>
            <w:shd w:val="clear" w:color="auto" w:fill="FFFFFF" w:themeFill="background1"/>
            <w:vAlign w:val="center"/>
          </w:tcPr>
          <w:p w:rsidR="00A27D66" w:rsidRDefault="00A2119D" w:rsidP="006C626B">
            <w:pPr>
              <w:spacing w:line="240" w:lineRule="exact"/>
              <w:jc w:val="right"/>
              <w:rPr>
                <w:rFonts w:ascii="宋体" w:eastAsia="宋体" w:hAnsi="宋体" w:cs="宋体"/>
                <w:sz w:val="18"/>
                <w:szCs w:val="18"/>
              </w:rPr>
            </w:pPr>
            <w:r>
              <w:rPr>
                <w:rFonts w:ascii="宋体" w:eastAsia="宋体" w:hAnsi="宋体" w:cs="宋体"/>
                <w:sz w:val="18"/>
                <w:szCs w:val="18"/>
              </w:rPr>
              <w:t>13,745,372.90</w:t>
            </w: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gridSpan w:val="2"/>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119D" w:rsidP="006C626B">
            <w:pPr>
              <w:spacing w:line="240" w:lineRule="exact"/>
              <w:jc w:val="right"/>
              <w:rPr>
                <w:rFonts w:ascii="宋体" w:eastAsia="宋体" w:hAnsi="宋体" w:cs="宋体"/>
                <w:sz w:val="18"/>
                <w:szCs w:val="18"/>
              </w:rPr>
            </w:pPr>
            <w:r>
              <w:rPr>
                <w:rFonts w:ascii="宋体" w:eastAsia="宋体" w:hAnsi="宋体" w:cs="宋体"/>
                <w:sz w:val="18"/>
                <w:szCs w:val="18"/>
              </w:rPr>
              <w:t>-547,669.09</w:t>
            </w: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5"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27D66" w:rsidRDefault="00A2119D" w:rsidP="006C626B">
            <w:pPr>
              <w:spacing w:line="240" w:lineRule="exact"/>
              <w:jc w:val="right"/>
              <w:rPr>
                <w:rFonts w:ascii="宋体" w:eastAsia="宋体" w:hAnsi="宋体" w:cs="宋体"/>
                <w:sz w:val="18"/>
                <w:szCs w:val="18"/>
              </w:rPr>
            </w:pPr>
            <w:r>
              <w:rPr>
                <w:rFonts w:ascii="宋体" w:eastAsia="宋体" w:hAnsi="宋体" w:cs="宋体"/>
                <w:sz w:val="18"/>
                <w:szCs w:val="18"/>
              </w:rPr>
              <w:t>13,197,703.81</w:t>
            </w:r>
          </w:p>
        </w:tc>
        <w:tc>
          <w:tcPr>
            <w:tcW w:w="743" w:type="dxa"/>
            <w:shd w:val="clear" w:color="auto" w:fill="FFFFFF" w:themeFill="background1"/>
            <w:vAlign w:val="center"/>
          </w:tcPr>
          <w:p w:rsidR="00A27D66" w:rsidRDefault="00A27D66" w:rsidP="006C626B">
            <w:pPr>
              <w:spacing w:line="240" w:lineRule="exact"/>
              <w:jc w:val="right"/>
              <w:rPr>
                <w:rFonts w:ascii="宋体" w:eastAsia="宋体" w:hAnsi="宋体" w:cs="宋体"/>
                <w:sz w:val="18"/>
                <w:szCs w:val="18"/>
              </w:rPr>
            </w:pPr>
          </w:p>
        </w:tc>
      </w:tr>
      <w:tr w:rsidR="00A73E55" w:rsidTr="007E203F">
        <w:trPr>
          <w:trHeight w:val="240"/>
        </w:trPr>
        <w:tc>
          <w:tcPr>
            <w:tcW w:w="741" w:type="dxa"/>
            <w:tcBorders>
              <w:bottom w:val="single" w:sz="2" w:space="0" w:color="auto"/>
            </w:tcBorders>
            <w:shd w:val="clear" w:color="auto" w:fill="FFFFFF" w:themeFill="background1"/>
            <w:vAlign w:val="center"/>
          </w:tcPr>
          <w:p w:rsidR="00A73E55" w:rsidRPr="009910CC" w:rsidRDefault="00A73E55" w:rsidP="006C626B">
            <w:pPr>
              <w:spacing w:line="240" w:lineRule="exact"/>
              <w:rPr>
                <w:rFonts w:ascii="宋体" w:eastAsia="宋体" w:hAnsi="宋体" w:cs="宋体"/>
                <w:sz w:val="18"/>
                <w:szCs w:val="18"/>
              </w:rPr>
            </w:pPr>
            <w:r w:rsidRPr="009910CC">
              <w:rPr>
                <w:rFonts w:ascii="宋体" w:eastAsia="宋体" w:hAnsi="宋体" w:cs="宋体" w:hint="eastAsia"/>
                <w:sz w:val="18"/>
                <w:szCs w:val="18"/>
              </w:rPr>
              <w:t>江门机械厂</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575CBD">
              <w:rPr>
                <w:snapToGrid w:val="0"/>
                <w:color w:val="000000" w:themeColor="text1"/>
                <w:kern w:val="0"/>
                <w:szCs w:val="21"/>
              </w:rPr>
              <w:t>-</w:t>
            </w:r>
          </w:p>
        </w:tc>
        <w:tc>
          <w:tcPr>
            <w:tcW w:w="741" w:type="dxa"/>
            <w:shd w:val="clear" w:color="auto" w:fill="FFFFFF" w:themeFill="background1"/>
          </w:tcPr>
          <w:p w:rsidR="00A73E55" w:rsidRDefault="00A73E55" w:rsidP="006C626B">
            <w:pPr>
              <w:spacing w:line="240" w:lineRule="exact"/>
              <w:jc w:val="right"/>
              <w:rPr>
                <w:rFonts w:ascii="宋体" w:eastAsia="宋体" w:hAnsi="宋体" w:cs="宋体"/>
                <w:sz w:val="18"/>
                <w:szCs w:val="18"/>
              </w:rPr>
            </w:pPr>
            <w:r w:rsidRPr="00487F2B">
              <w:rPr>
                <w:rFonts w:ascii="宋体" w:eastAsia="宋体" w:hAnsi="宋体" w:cs="宋体"/>
                <w:sz w:val="18"/>
                <w:szCs w:val="18"/>
              </w:rPr>
              <w:t>37,808,737.59</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575CBD">
              <w:rPr>
                <w:snapToGrid w:val="0"/>
                <w:color w:val="000000" w:themeColor="text1"/>
                <w:kern w:val="0"/>
                <w:szCs w:val="21"/>
              </w:rPr>
              <w:t>-</w:t>
            </w:r>
          </w:p>
        </w:tc>
        <w:tc>
          <w:tcPr>
            <w:tcW w:w="741" w:type="dxa"/>
            <w:gridSpan w:val="2"/>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575CBD">
              <w:rPr>
                <w:snapToGrid w:val="0"/>
                <w:color w:val="000000" w:themeColor="text1"/>
                <w:kern w:val="0"/>
                <w:szCs w:val="21"/>
              </w:rPr>
              <w:t>-</w:t>
            </w:r>
          </w:p>
        </w:tc>
        <w:tc>
          <w:tcPr>
            <w:tcW w:w="741" w:type="dxa"/>
            <w:shd w:val="clear" w:color="auto" w:fill="FFFFFF" w:themeFill="background1"/>
            <w:vAlign w:val="center"/>
          </w:tcPr>
          <w:p w:rsidR="00A73E55" w:rsidRPr="00D323D0" w:rsidRDefault="00A73E55" w:rsidP="006C626B">
            <w:pPr>
              <w:spacing w:line="240" w:lineRule="exact"/>
              <w:jc w:val="right"/>
              <w:rPr>
                <w:rFonts w:ascii="宋体" w:eastAsia="宋体" w:hAnsi="宋体" w:cs="宋体"/>
                <w:sz w:val="18"/>
                <w:szCs w:val="18"/>
              </w:rPr>
            </w:pPr>
            <w:r w:rsidRPr="00575CBD">
              <w:rPr>
                <w:snapToGrid w:val="0"/>
                <w:color w:val="000000" w:themeColor="text1"/>
                <w:kern w:val="0"/>
                <w:szCs w:val="21"/>
              </w:rPr>
              <w:t>-</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575CBD">
              <w:rPr>
                <w:rFonts w:hint="eastAsia"/>
                <w:snapToGrid w:val="0"/>
                <w:color w:val="000000" w:themeColor="text1"/>
                <w:kern w:val="0"/>
                <w:szCs w:val="21"/>
              </w:rPr>
              <w:t>-</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575CBD">
              <w:rPr>
                <w:snapToGrid w:val="0"/>
                <w:color w:val="000000" w:themeColor="text1"/>
                <w:kern w:val="0"/>
                <w:szCs w:val="21"/>
              </w:rPr>
              <w:t>-</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575CBD">
              <w:rPr>
                <w:rFonts w:hint="eastAsia"/>
                <w:snapToGrid w:val="0"/>
                <w:color w:val="000000" w:themeColor="text1"/>
                <w:kern w:val="0"/>
                <w:szCs w:val="21"/>
              </w:rPr>
              <w:t>-</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575CBD">
              <w:rPr>
                <w:rFonts w:hint="eastAsia"/>
                <w:snapToGrid w:val="0"/>
                <w:color w:val="000000" w:themeColor="text1"/>
                <w:kern w:val="0"/>
                <w:szCs w:val="21"/>
              </w:rPr>
              <w:t>-</w:t>
            </w:r>
          </w:p>
        </w:tc>
        <w:tc>
          <w:tcPr>
            <w:tcW w:w="745"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575CBD">
              <w:rPr>
                <w:rFonts w:hint="eastAsia"/>
                <w:snapToGrid w:val="0"/>
                <w:color w:val="000000" w:themeColor="text1"/>
                <w:kern w:val="0"/>
                <w:szCs w:val="21"/>
              </w:rPr>
              <w:t>-</w:t>
            </w:r>
          </w:p>
        </w:tc>
        <w:tc>
          <w:tcPr>
            <w:tcW w:w="741" w:type="dxa"/>
            <w:shd w:val="clear" w:color="auto" w:fill="FFFFFF" w:themeFill="background1"/>
            <w:vAlign w:val="center"/>
          </w:tcPr>
          <w:p w:rsidR="00A73E55" w:rsidRPr="00D323D0" w:rsidRDefault="00A73E55" w:rsidP="006C626B">
            <w:pPr>
              <w:spacing w:line="240" w:lineRule="exact"/>
              <w:jc w:val="right"/>
              <w:rPr>
                <w:rFonts w:ascii="宋体" w:eastAsia="宋体" w:hAnsi="宋体" w:cs="宋体"/>
                <w:sz w:val="18"/>
                <w:szCs w:val="18"/>
              </w:rPr>
            </w:pPr>
            <w:r w:rsidRPr="00575CBD">
              <w:rPr>
                <w:rFonts w:hint="eastAsia"/>
                <w:snapToGrid w:val="0"/>
                <w:color w:val="000000" w:themeColor="text1"/>
                <w:kern w:val="0"/>
                <w:szCs w:val="21"/>
              </w:rPr>
              <w:t>-</w:t>
            </w:r>
          </w:p>
        </w:tc>
        <w:tc>
          <w:tcPr>
            <w:tcW w:w="743"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9910CC">
              <w:rPr>
                <w:rFonts w:ascii="宋体" w:eastAsia="宋体" w:hAnsi="宋体" w:cs="宋体"/>
                <w:sz w:val="18"/>
                <w:szCs w:val="18"/>
              </w:rPr>
              <w:t>37,808,737.59</w:t>
            </w:r>
          </w:p>
        </w:tc>
      </w:tr>
      <w:tr w:rsidR="00A73E55" w:rsidTr="007E203F">
        <w:trPr>
          <w:trHeight w:val="240"/>
        </w:trPr>
        <w:tc>
          <w:tcPr>
            <w:tcW w:w="741" w:type="dxa"/>
            <w:shd w:val="pct15" w:color="auto" w:fill="FFFFFF" w:themeFill="background1"/>
            <w:vAlign w:val="center"/>
          </w:tcPr>
          <w:p w:rsidR="00A73E55" w:rsidRDefault="00A73E55" w:rsidP="006C626B">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Pr>
                <w:rFonts w:ascii="宋体" w:eastAsia="宋体" w:hAnsi="宋体" w:cs="宋体"/>
                <w:sz w:val="18"/>
                <w:szCs w:val="18"/>
              </w:rPr>
              <w:t>238,121,398.76</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A73E55">
              <w:rPr>
                <w:rFonts w:ascii="宋体" w:eastAsia="宋体" w:hAnsi="宋体" w:cs="宋体"/>
                <w:sz w:val="18"/>
                <w:szCs w:val="18"/>
              </w:rPr>
              <w:t>37,808,737.59</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p>
        </w:tc>
        <w:tc>
          <w:tcPr>
            <w:tcW w:w="741" w:type="dxa"/>
            <w:gridSpan w:val="2"/>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D323D0">
              <w:rPr>
                <w:rFonts w:ascii="宋体" w:eastAsia="宋体" w:hAnsi="宋体" w:cs="宋体"/>
                <w:sz w:val="18"/>
                <w:szCs w:val="18"/>
              </w:rPr>
              <w:t>-15,284,227.93</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Pr>
                <w:rFonts w:ascii="宋体" w:eastAsia="宋体" w:hAnsi="宋体" w:cs="宋体"/>
                <w:sz w:val="18"/>
                <w:szCs w:val="18"/>
              </w:rPr>
              <w:t>2,849,908.32</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p>
        </w:tc>
        <w:tc>
          <w:tcPr>
            <w:tcW w:w="745"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D323D0">
              <w:rPr>
                <w:rFonts w:ascii="宋体" w:eastAsia="宋体" w:hAnsi="宋体" w:cs="宋体"/>
                <w:sz w:val="18"/>
                <w:szCs w:val="18"/>
              </w:rPr>
              <w:t>219,987,262.51</w:t>
            </w:r>
          </w:p>
        </w:tc>
        <w:tc>
          <w:tcPr>
            <w:tcW w:w="743"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A73E55">
              <w:rPr>
                <w:rFonts w:ascii="宋体" w:eastAsia="宋体" w:hAnsi="宋体" w:cs="宋体"/>
                <w:sz w:val="18"/>
                <w:szCs w:val="18"/>
              </w:rPr>
              <w:t>37,808,737.59</w:t>
            </w:r>
          </w:p>
        </w:tc>
      </w:tr>
      <w:tr w:rsidR="00A73E55" w:rsidTr="007E203F">
        <w:trPr>
          <w:trHeight w:val="240"/>
        </w:trPr>
        <w:tc>
          <w:tcPr>
            <w:tcW w:w="741" w:type="dxa"/>
            <w:shd w:val="pct15" w:color="auto" w:fill="FFFFFF" w:themeFill="background1"/>
            <w:vAlign w:val="center"/>
          </w:tcPr>
          <w:p w:rsidR="00A73E55" w:rsidRDefault="00A73E55" w:rsidP="006C626B">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Pr>
                <w:rFonts w:ascii="宋体" w:eastAsia="宋体" w:hAnsi="宋体" w:cs="宋体"/>
                <w:sz w:val="18"/>
                <w:szCs w:val="18"/>
              </w:rPr>
              <w:t>238,121,398.76</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A73E55">
              <w:rPr>
                <w:rFonts w:ascii="宋体" w:eastAsia="宋体" w:hAnsi="宋体" w:cs="宋体"/>
                <w:sz w:val="18"/>
                <w:szCs w:val="18"/>
              </w:rPr>
              <w:t>37,808,737.59</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p>
        </w:tc>
        <w:tc>
          <w:tcPr>
            <w:tcW w:w="741" w:type="dxa"/>
            <w:gridSpan w:val="2"/>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D323D0">
              <w:rPr>
                <w:rFonts w:ascii="宋体" w:eastAsia="宋体" w:hAnsi="宋体" w:cs="宋体"/>
                <w:sz w:val="18"/>
                <w:szCs w:val="18"/>
              </w:rPr>
              <w:t>-15,284,227.93</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Pr>
                <w:rFonts w:ascii="宋体" w:eastAsia="宋体" w:hAnsi="宋体" w:cs="宋体"/>
                <w:sz w:val="18"/>
                <w:szCs w:val="18"/>
              </w:rPr>
              <w:t>2,849,908.32</w:t>
            </w: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p>
        </w:tc>
        <w:tc>
          <w:tcPr>
            <w:tcW w:w="745"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p>
        </w:tc>
        <w:tc>
          <w:tcPr>
            <w:tcW w:w="741"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D323D0">
              <w:rPr>
                <w:rFonts w:ascii="宋体" w:eastAsia="宋体" w:hAnsi="宋体" w:cs="宋体"/>
                <w:sz w:val="18"/>
                <w:szCs w:val="18"/>
              </w:rPr>
              <w:t>219,987,262.51</w:t>
            </w:r>
          </w:p>
        </w:tc>
        <w:tc>
          <w:tcPr>
            <w:tcW w:w="743" w:type="dxa"/>
            <w:shd w:val="clear" w:color="auto" w:fill="FFFFFF" w:themeFill="background1"/>
            <w:vAlign w:val="center"/>
          </w:tcPr>
          <w:p w:rsidR="00A73E55" w:rsidRDefault="00A73E55" w:rsidP="006C626B">
            <w:pPr>
              <w:spacing w:line="240" w:lineRule="exact"/>
              <w:jc w:val="right"/>
              <w:rPr>
                <w:rFonts w:ascii="宋体" w:eastAsia="宋体" w:hAnsi="宋体" w:cs="宋体"/>
                <w:sz w:val="18"/>
                <w:szCs w:val="18"/>
              </w:rPr>
            </w:pPr>
            <w:r w:rsidRPr="00A73E55">
              <w:rPr>
                <w:rFonts w:ascii="宋体" w:eastAsia="宋体" w:hAnsi="宋体" w:cs="宋体"/>
                <w:sz w:val="18"/>
                <w:szCs w:val="18"/>
              </w:rPr>
              <w:t>37,808,737.59</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p>
    <w:p w:rsidR="00A2119D" w:rsidRPr="00B402BB" w:rsidRDefault="00A2119D" w:rsidP="00B402BB">
      <w:pPr>
        <w:spacing w:before="100" w:after="100" w:line="240" w:lineRule="exact"/>
        <w:divId w:val="1494838431"/>
        <w:rPr>
          <w:rFonts w:ascii="宋体" w:eastAsia="宋体" w:hAnsi="宋体" w:cs="宋体"/>
          <w:sz w:val="18"/>
          <w:szCs w:val="18"/>
        </w:rPr>
      </w:pPr>
      <w:r w:rsidRPr="00B402BB">
        <w:rPr>
          <w:rFonts w:ascii="宋体" w:eastAsia="宋体" w:hAnsi="宋体" w:cs="宋体" w:hint="eastAsia"/>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公司以前年度减值测试采用信息与当年实际情况明显不一致的差异原因</w:t>
      </w:r>
    </w:p>
    <w:p w:rsidR="00A2119D" w:rsidRPr="00B402BB" w:rsidRDefault="00A2119D" w:rsidP="00B402BB">
      <w:pPr>
        <w:spacing w:before="100" w:after="100" w:line="240" w:lineRule="exact"/>
        <w:divId w:val="1228107495"/>
        <w:rPr>
          <w:rFonts w:ascii="宋体" w:eastAsia="宋体" w:hAnsi="宋体" w:cs="宋体"/>
          <w:sz w:val="18"/>
          <w:szCs w:val="18"/>
        </w:rPr>
      </w:pPr>
      <w:r w:rsidRPr="00B402BB">
        <w:rPr>
          <w:rFonts w:ascii="宋体" w:eastAsia="宋体" w:hAnsi="宋体" w:cs="宋体" w:hint="eastAsia"/>
          <w:sz w:val="18"/>
          <w:szCs w:val="18"/>
        </w:rPr>
        <w:t>不适用</w:t>
      </w:r>
    </w:p>
    <w:p w:rsidR="00A27D66" w:rsidRDefault="00A2119D">
      <w:pPr>
        <w:pStyle w:val="3"/>
        <w:spacing w:line="280" w:lineRule="exact"/>
        <w:jc w:val="left"/>
        <w:rPr>
          <w:rFonts w:ascii="宋体" w:hAnsi="宋体" w:cs="宋体"/>
          <w:b/>
          <w:bCs/>
        </w:rPr>
      </w:pPr>
      <w:bookmarkStart w:id="261" w:name="_Toc989145"/>
      <w:r>
        <w:rPr>
          <w:rFonts w:ascii="宋体" w:hAnsi="宋体" w:cs="宋体"/>
          <w:b/>
          <w:bCs/>
        </w:rPr>
        <w:t>13、投资性房地产</w:t>
      </w:r>
      <w:bookmarkEnd w:id="261"/>
    </w:p>
    <w:p w:rsidR="00A27D66" w:rsidRDefault="00A2119D">
      <w:pPr>
        <w:keepNext/>
        <w:keepLines/>
        <w:spacing w:before="300" w:after="300" w:line="280" w:lineRule="exact"/>
        <w:outlineLvl w:val="3"/>
        <w:rPr>
          <w:rFonts w:ascii="宋体" w:eastAsia="宋体" w:hAnsi="宋体" w:cs="宋体"/>
          <w:b/>
          <w:bCs/>
          <w:sz w:val="18"/>
          <w:szCs w:val="18"/>
        </w:rPr>
      </w:pPr>
      <w:bookmarkStart w:id="262" w:name="_Toc989146"/>
      <w:r>
        <w:rPr>
          <w:rFonts w:ascii="宋体" w:eastAsia="宋体" w:hAnsi="宋体" w:cs="宋体"/>
          <w:b/>
          <w:bCs/>
          <w:sz w:val="18"/>
          <w:szCs w:val="18"/>
        </w:rPr>
        <w:t>（1） 采用成本计量模式的投资性房地产</w:t>
      </w:r>
      <w:bookmarkEnd w:id="262"/>
    </w:p>
    <w:p w:rsidR="00A27D66" w:rsidRDefault="00A2119D">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房屋、建筑物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在建工程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36,249,902.09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1,466,526.99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37,716,429.08</w:t>
            </w: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1,159,950.43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1,159,950.43</w:t>
            </w: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（1）外购</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（2）存货\固定资产\在建工程转入</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（3）企业合并增加</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（4）无形资产转入</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1,159,950.43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1,159,950.43</w:t>
            </w: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36,249,902.09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2,626,477.42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38,876,379.51</w:t>
            </w: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二、累计折旧和累计摊销</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15,066,018.19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792,413.40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15,858,431.59</w:t>
            </w: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691,700.16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703,102.48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1,394,802.64</w:t>
            </w: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（1）计提或摊销</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691,700.16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49,903.10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741,603.26</w:t>
            </w: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（2）无形资产转入</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653,199.38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653,199.38</w:t>
            </w: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15,757,718.35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1,495,515.88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17,253,234.23</w:t>
            </w: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（1）计提</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1.期末账面价值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20,492,183.74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1,130,961.54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21,623,145.28</w:t>
            </w:r>
          </w:p>
        </w:tc>
      </w:tr>
      <w:tr w:rsidR="00A27D66" w:rsidTr="00B402BB">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2.期初账面价值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21,183,883.90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674,113.59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21,857,997.49</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p>
    <w:p w:rsidR="00A2119D" w:rsidRPr="00B402BB" w:rsidRDefault="00A2119D" w:rsidP="00B402BB">
      <w:pPr>
        <w:spacing w:before="100" w:after="100" w:line="240" w:lineRule="exact"/>
        <w:divId w:val="1152255931"/>
        <w:rPr>
          <w:rFonts w:ascii="宋体" w:eastAsia="宋体" w:hAnsi="宋体" w:cs="宋体"/>
          <w:sz w:val="18"/>
          <w:szCs w:val="18"/>
        </w:rPr>
      </w:pPr>
      <w:r w:rsidRPr="00B402BB">
        <w:rPr>
          <w:rFonts w:ascii="宋体" w:eastAsia="宋体" w:hAnsi="宋体" w:cs="宋体" w:hint="eastAsia"/>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公司以前年度减值测试采用信息与当年实际情况明显不一致的差异原因</w:t>
      </w:r>
    </w:p>
    <w:p w:rsidR="00A2119D" w:rsidRPr="00B402BB" w:rsidRDefault="00A2119D" w:rsidP="00B402BB">
      <w:pPr>
        <w:spacing w:before="100" w:after="100" w:line="240" w:lineRule="exact"/>
        <w:divId w:val="719091743"/>
        <w:rPr>
          <w:rFonts w:ascii="宋体" w:eastAsia="宋体" w:hAnsi="宋体" w:cs="宋体"/>
          <w:sz w:val="18"/>
          <w:szCs w:val="18"/>
        </w:rPr>
      </w:pPr>
      <w:r w:rsidRPr="00B402BB">
        <w:rPr>
          <w:rFonts w:ascii="宋体" w:eastAsia="宋体" w:hAnsi="宋体" w:cs="宋体" w:hint="eastAsia"/>
          <w:sz w:val="18"/>
          <w:szCs w:val="18"/>
        </w:rPr>
        <w:t>不适用</w:t>
      </w:r>
    </w:p>
    <w:p w:rsidR="00A27D66" w:rsidRDefault="00A2119D">
      <w:pPr>
        <w:keepNext/>
        <w:keepLines/>
        <w:spacing w:before="300" w:after="300" w:line="280" w:lineRule="exact"/>
        <w:outlineLvl w:val="3"/>
        <w:rPr>
          <w:rFonts w:ascii="宋体" w:eastAsia="宋体" w:hAnsi="宋体" w:cs="宋体"/>
          <w:b/>
          <w:bCs/>
          <w:sz w:val="18"/>
          <w:szCs w:val="18"/>
        </w:rPr>
      </w:pPr>
      <w:bookmarkStart w:id="263" w:name="_Toc989147"/>
      <w:r>
        <w:rPr>
          <w:rFonts w:ascii="宋体" w:eastAsia="宋体" w:hAnsi="宋体" w:cs="宋体"/>
          <w:b/>
          <w:bCs/>
          <w:sz w:val="18"/>
          <w:szCs w:val="18"/>
        </w:rPr>
        <w:t>（2） 采用公允价值计量模式的投资性房地产</w:t>
      </w:r>
      <w:bookmarkEnd w:id="263"/>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264" w:name="_Toc989148"/>
      <w:r>
        <w:rPr>
          <w:rFonts w:ascii="宋体" w:hAnsi="宋体" w:cs="宋体"/>
          <w:b/>
          <w:bCs/>
        </w:rPr>
        <w:t>14、固定资产</w:t>
      </w:r>
      <w:bookmarkEnd w:id="264"/>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60,867,561.09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61,884,853.55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2,033,138.90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62,900,699.99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63,917,992.45</w:t>
            </w:r>
          </w:p>
        </w:tc>
      </w:tr>
    </w:tbl>
    <w:p w:rsidR="00A27D66" w:rsidRDefault="00A2119D">
      <w:pPr>
        <w:keepNext/>
        <w:keepLines/>
        <w:spacing w:before="300" w:after="300" w:line="280" w:lineRule="exact"/>
        <w:outlineLvl w:val="3"/>
        <w:rPr>
          <w:rFonts w:ascii="宋体" w:eastAsia="宋体" w:hAnsi="宋体" w:cs="宋体"/>
          <w:b/>
          <w:bCs/>
          <w:szCs w:val="21"/>
        </w:rPr>
      </w:pPr>
      <w:bookmarkStart w:id="265" w:name="_Toc989149"/>
      <w:r>
        <w:rPr>
          <w:rFonts w:ascii="宋体" w:eastAsia="宋体" w:hAnsi="宋体" w:cs="宋体"/>
          <w:b/>
          <w:bCs/>
          <w:szCs w:val="21"/>
        </w:rPr>
        <w:t>（1） 固定资产情况</w:t>
      </w:r>
      <w:bookmarkEnd w:id="265"/>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机器设备</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电子设备</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运输设备</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其他设备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1.期初余额</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23,382,939.12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65,635,372.63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6,996,384.92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3,139,647.21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5,862,208.21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105,016,552.09</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12,105,456.28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720,605.67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363,068.81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410,610.63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13,599,741.39</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（1）购置</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11,244,311.82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281,362.80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313,743.36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410,610.63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12,250,028.61</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（2）在建工程转入</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（3）企业合并增加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861,144.46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439,242.87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49,325.45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1,349,712.78</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2,343,515.43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55,455.46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442,935.50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2,841,906.39</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（1）处置或报废</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2,343,515.43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442,935.50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2,786,450.93</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（2）其他</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55,455.46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55,455.46</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4.期末余额</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23,382,939.12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75,397,313.48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7,661,535.13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3,502,716.02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5,829,883.34</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115,774,387.09</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1.期初余额</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9,698,379.92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25,423,710.92</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2,950,259.97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1,554,207.03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3,229,905.93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42,856,463.77</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450,933.66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10,196,025.81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817,279.69</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385,805.90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1,590,490.07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13,440,535.13</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（1）计提</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450,933.66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9,521,905.47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659,169.73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376,502.10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1,590,490.07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12,599,001.03</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（2）企业合并增加</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674,120.34</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158,109.96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9,303.80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841,534.10</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3.本期减少金额</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1,274,449.69</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35,138.31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355,819.67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1,665,407.67</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（1）处置或报废</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1,175,946.61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355,819.67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1,531,766.28</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（2）其他</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98,503.08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35,138.31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133,641.39</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4.期末余额</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10,149,313.58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34,345,287.04</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3,732,401.35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1,940,012.93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4,464,576.33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54,631,591.23</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1.期初余额</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275,234.77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275,234.77</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（1）计提</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（1）处置或</w:t>
            </w:r>
            <w:r>
              <w:rPr>
                <w:rFonts w:ascii="宋体" w:eastAsia="宋体" w:hAnsi="宋体" w:cs="宋体"/>
                <w:sz w:val="18"/>
                <w:szCs w:val="18"/>
              </w:rPr>
              <w:lastRenderedPageBreak/>
              <w:t>报废</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lastRenderedPageBreak/>
              <w:t>4.期末余额</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275,234.77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275,234.77</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1.期末账面价值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13,233,625.54</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40,776,791.67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3,929,133.78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1,562,703.09</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D323D0">
            <w:pPr>
              <w:spacing w:line="240" w:lineRule="exact"/>
              <w:jc w:val="right"/>
              <w:rPr>
                <w:rFonts w:ascii="宋体" w:eastAsia="宋体" w:hAnsi="宋体" w:cs="宋体"/>
                <w:sz w:val="18"/>
                <w:szCs w:val="18"/>
              </w:rPr>
            </w:pPr>
            <w:r w:rsidRPr="00D323D0">
              <w:rPr>
                <w:rFonts w:ascii="宋体" w:eastAsia="宋体" w:hAnsi="宋体" w:cs="宋体"/>
                <w:sz w:val="18"/>
                <w:szCs w:val="18"/>
              </w:rPr>
              <w:t>1,365,307.01</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60,867,561.09</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B402BB">
            <w:pPr>
              <w:spacing w:before="40" w:after="40" w:line="240" w:lineRule="exact"/>
              <w:rPr>
                <w:rFonts w:ascii="宋体" w:eastAsia="宋体" w:hAnsi="宋体" w:cs="宋体"/>
                <w:sz w:val="18"/>
                <w:szCs w:val="18"/>
              </w:rPr>
            </w:pPr>
            <w:r>
              <w:rPr>
                <w:rFonts w:ascii="宋体" w:eastAsia="宋体" w:hAnsi="宋体" w:cs="宋体"/>
                <w:sz w:val="18"/>
                <w:szCs w:val="18"/>
              </w:rPr>
              <w:t>2.期初账面价值</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13,684,559.20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39,936,426.94</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4,046,124.95</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1,585,440.18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2,632,302.28</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61,884,853.55</w:t>
            </w:r>
          </w:p>
        </w:tc>
      </w:tr>
    </w:tbl>
    <w:p w:rsidR="00A27D66" w:rsidRDefault="00A2119D">
      <w:pPr>
        <w:keepNext/>
        <w:keepLines/>
        <w:spacing w:before="300" w:after="300" w:line="280" w:lineRule="exact"/>
        <w:outlineLvl w:val="3"/>
        <w:rPr>
          <w:rFonts w:ascii="宋体" w:eastAsia="宋体" w:hAnsi="宋体" w:cs="宋体"/>
          <w:b/>
          <w:bCs/>
          <w:szCs w:val="21"/>
        </w:rPr>
      </w:pPr>
      <w:bookmarkStart w:id="266" w:name="_Toc989150"/>
      <w:r>
        <w:rPr>
          <w:rFonts w:ascii="宋体" w:eastAsia="宋体" w:hAnsi="宋体" w:cs="宋体"/>
          <w:b/>
          <w:bCs/>
          <w:szCs w:val="21"/>
        </w:rPr>
        <w:t>（2） 固定资产的减值测试情况</w:t>
      </w:r>
      <w:bookmarkEnd w:id="266"/>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1416"/>
        <w:gridCol w:w="1560"/>
        <w:gridCol w:w="1134"/>
        <w:gridCol w:w="921"/>
        <w:gridCol w:w="1205"/>
        <w:gridCol w:w="1276"/>
        <w:gridCol w:w="1134"/>
      </w:tblGrid>
      <w:tr w:rsidR="00A27D66" w:rsidTr="00B402BB">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41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可收回金额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减值金额</w:t>
            </w:r>
          </w:p>
        </w:tc>
        <w:tc>
          <w:tcPr>
            <w:tcW w:w="92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预测期的年限</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预测期的关键参数</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稳定期的关键参数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稳定期的关键参数的确定依据</w:t>
            </w:r>
          </w:p>
        </w:tc>
      </w:tr>
      <w:tr w:rsidR="00A27D66" w:rsidTr="00B402BB">
        <w:trPr>
          <w:trHeight w:val="240"/>
        </w:trPr>
        <w:tc>
          <w:tcPr>
            <w:tcW w:w="99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机器设备</w:t>
            </w:r>
          </w:p>
        </w:tc>
        <w:tc>
          <w:tcPr>
            <w:tcW w:w="141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9,223,731.88</w:t>
            </w:r>
          </w:p>
        </w:tc>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8,948,497.11</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275,234.77</w:t>
            </w:r>
          </w:p>
        </w:tc>
        <w:tc>
          <w:tcPr>
            <w:tcW w:w="92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5年</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收入增长率1.13%-65.98%；</w:t>
            </w:r>
          </w:p>
          <w:p w:rsidR="00A27D66" w:rsidRDefault="00A2119D">
            <w:pPr>
              <w:spacing w:line="240" w:lineRule="exact"/>
              <w:rPr>
                <w:rFonts w:ascii="宋体" w:eastAsia="宋体" w:hAnsi="宋体" w:cs="宋体"/>
                <w:sz w:val="18"/>
                <w:szCs w:val="18"/>
              </w:rPr>
            </w:pPr>
            <w:r>
              <w:rPr>
                <w:rFonts w:ascii="宋体" w:eastAsia="宋体" w:hAnsi="宋体" w:cs="宋体"/>
                <w:sz w:val="18"/>
                <w:szCs w:val="18"/>
              </w:rPr>
              <w:t>利润率7.15%-9.95%；</w:t>
            </w:r>
          </w:p>
          <w:p w:rsidR="00A27D66" w:rsidRDefault="00A2119D">
            <w:pPr>
              <w:spacing w:line="240" w:lineRule="exact"/>
              <w:rPr>
                <w:rFonts w:ascii="宋体" w:eastAsia="宋体" w:hAnsi="宋体" w:cs="宋体"/>
                <w:sz w:val="18"/>
                <w:szCs w:val="18"/>
              </w:rPr>
            </w:pPr>
            <w:r>
              <w:rPr>
                <w:rFonts w:ascii="宋体" w:eastAsia="宋体" w:hAnsi="宋体" w:cs="宋体"/>
                <w:sz w:val="18"/>
                <w:szCs w:val="18"/>
              </w:rPr>
              <w:t>折现率11.51%</w:t>
            </w:r>
          </w:p>
        </w:tc>
        <w:tc>
          <w:tcPr>
            <w:tcW w:w="127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收入增长率:0%，利润率:7.15%，</w:t>
            </w:r>
          </w:p>
          <w:p w:rsidR="00A27D66" w:rsidRDefault="00A2119D">
            <w:pPr>
              <w:spacing w:line="240" w:lineRule="exact"/>
              <w:rPr>
                <w:rFonts w:ascii="宋体" w:eastAsia="宋体" w:hAnsi="宋体" w:cs="宋体"/>
                <w:sz w:val="18"/>
                <w:szCs w:val="18"/>
              </w:rPr>
            </w:pPr>
            <w:r>
              <w:rPr>
                <w:rFonts w:ascii="宋体" w:eastAsia="宋体" w:hAnsi="宋体" w:cs="宋体"/>
                <w:sz w:val="18"/>
                <w:szCs w:val="18"/>
              </w:rPr>
              <w:t>折现率:11.51%</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稳定期收入增长率为0%，利润率、折现率与预测期最后一年一致</w:t>
            </w:r>
          </w:p>
        </w:tc>
      </w:tr>
      <w:tr w:rsidR="00A27D66" w:rsidTr="00B402BB">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41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9,223,731.88</w:t>
            </w:r>
          </w:p>
        </w:tc>
        <w:tc>
          <w:tcPr>
            <w:tcW w:w="156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8,948,497.11</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275,234.77</w:t>
            </w:r>
          </w:p>
        </w:tc>
        <w:tc>
          <w:tcPr>
            <w:tcW w:w="92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keepNext/>
        <w:keepLines/>
        <w:spacing w:before="300" w:after="300" w:line="280" w:lineRule="exact"/>
        <w:outlineLvl w:val="3"/>
        <w:rPr>
          <w:rFonts w:ascii="宋体" w:eastAsia="宋体" w:hAnsi="宋体" w:cs="宋体"/>
          <w:b/>
          <w:bCs/>
          <w:szCs w:val="21"/>
        </w:rPr>
      </w:pPr>
      <w:bookmarkStart w:id="267" w:name="_Toc989151"/>
      <w:r>
        <w:rPr>
          <w:rFonts w:ascii="宋体" w:eastAsia="宋体" w:hAnsi="宋体" w:cs="宋体"/>
          <w:b/>
          <w:bCs/>
          <w:szCs w:val="21"/>
        </w:rPr>
        <w:t>（3） 固定资产清理</w:t>
      </w:r>
      <w:bookmarkEnd w:id="267"/>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proofErr w:type="gramStart"/>
            <w:r>
              <w:rPr>
                <w:rFonts w:ascii="宋体" w:eastAsia="宋体" w:hAnsi="宋体" w:cs="宋体"/>
                <w:sz w:val="18"/>
                <w:szCs w:val="18"/>
              </w:rPr>
              <w:t>三旧改造</w:t>
            </w:r>
            <w:proofErr w:type="gramEnd"/>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2,033,138.90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2,033,138.90</w:t>
            </w:r>
          </w:p>
        </w:tc>
      </w:tr>
    </w:tbl>
    <w:p w:rsidR="00A27D66" w:rsidRDefault="00A2119D">
      <w:pPr>
        <w:pStyle w:val="3"/>
        <w:spacing w:line="280" w:lineRule="exact"/>
        <w:jc w:val="left"/>
        <w:rPr>
          <w:rFonts w:ascii="宋体" w:hAnsi="宋体" w:cs="宋体"/>
          <w:b/>
          <w:bCs/>
        </w:rPr>
      </w:pPr>
      <w:bookmarkStart w:id="268" w:name="_Toc989152"/>
      <w:r>
        <w:rPr>
          <w:rFonts w:ascii="宋体" w:hAnsi="宋体" w:cs="宋体"/>
          <w:b/>
          <w:bCs/>
        </w:rPr>
        <w:t>15、在建工程</w:t>
      </w:r>
      <w:bookmarkEnd w:id="268"/>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9,209,122.07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3,543,818.56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9,209,122.07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3,543,818.56</w:t>
            </w:r>
          </w:p>
        </w:tc>
      </w:tr>
    </w:tbl>
    <w:p w:rsidR="00A27D66" w:rsidRDefault="00A2119D">
      <w:pPr>
        <w:keepNext/>
        <w:keepLines/>
        <w:spacing w:before="300" w:after="300" w:line="280" w:lineRule="exact"/>
        <w:outlineLvl w:val="3"/>
        <w:rPr>
          <w:rFonts w:ascii="宋体" w:eastAsia="宋体" w:hAnsi="宋体" w:cs="宋体"/>
          <w:b/>
          <w:bCs/>
          <w:szCs w:val="21"/>
        </w:rPr>
      </w:pPr>
      <w:bookmarkStart w:id="269" w:name="_Toc989153"/>
      <w:r>
        <w:rPr>
          <w:rFonts w:ascii="宋体" w:eastAsia="宋体" w:hAnsi="宋体" w:cs="宋体"/>
          <w:b/>
          <w:bCs/>
          <w:szCs w:val="21"/>
        </w:rPr>
        <w:t>（1） 在建工程情况</w:t>
      </w:r>
      <w:bookmarkEnd w:id="269"/>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A27D66">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设备安装</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9,209,122.07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9,209,122.07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3,543,818.56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3,543,818.56</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9,209,122.07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9,209,122.07</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3,543,818.56</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3,543,818.56</w:t>
            </w:r>
          </w:p>
        </w:tc>
      </w:tr>
    </w:tbl>
    <w:p w:rsidR="00A27D66" w:rsidRDefault="00A2119D">
      <w:pPr>
        <w:keepNext/>
        <w:keepLines/>
        <w:spacing w:before="300" w:after="300" w:line="280" w:lineRule="exact"/>
        <w:outlineLvl w:val="3"/>
        <w:rPr>
          <w:rFonts w:ascii="宋体" w:eastAsia="宋体" w:hAnsi="宋体" w:cs="宋体"/>
          <w:b/>
          <w:bCs/>
          <w:szCs w:val="21"/>
        </w:rPr>
      </w:pPr>
      <w:bookmarkStart w:id="270" w:name="_Toc989155"/>
      <w:r>
        <w:rPr>
          <w:rFonts w:ascii="宋体" w:eastAsia="宋体" w:hAnsi="宋体" w:cs="宋体"/>
          <w:b/>
          <w:bCs/>
          <w:szCs w:val="21"/>
        </w:rPr>
        <w:t>（</w:t>
      </w:r>
      <w:r w:rsidR="004F0D64">
        <w:rPr>
          <w:rFonts w:ascii="宋体" w:eastAsia="宋体" w:hAnsi="宋体" w:cs="宋体"/>
          <w:b/>
          <w:bCs/>
          <w:szCs w:val="21"/>
        </w:rPr>
        <w:t>2</w:t>
      </w:r>
      <w:r>
        <w:rPr>
          <w:rFonts w:ascii="宋体" w:eastAsia="宋体" w:hAnsi="宋体" w:cs="宋体"/>
          <w:b/>
          <w:bCs/>
          <w:szCs w:val="21"/>
        </w:rPr>
        <w:t>） 在建工程的减值测试情况</w:t>
      </w:r>
      <w:bookmarkEnd w:id="270"/>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271" w:name="_Toc989156"/>
      <w:r>
        <w:rPr>
          <w:rFonts w:ascii="宋体" w:hAnsi="宋体" w:cs="宋体"/>
          <w:b/>
          <w:bCs/>
        </w:rPr>
        <w:t>16、使用权资产</w:t>
      </w:r>
      <w:bookmarkEnd w:id="271"/>
    </w:p>
    <w:p w:rsidR="00A27D66" w:rsidRDefault="00A2119D">
      <w:pPr>
        <w:keepNext/>
        <w:keepLines/>
        <w:spacing w:before="300" w:after="300" w:line="280" w:lineRule="exact"/>
        <w:outlineLvl w:val="3"/>
        <w:rPr>
          <w:rFonts w:ascii="宋体" w:eastAsia="宋体" w:hAnsi="宋体" w:cs="宋体"/>
          <w:b/>
          <w:bCs/>
          <w:szCs w:val="21"/>
        </w:rPr>
      </w:pPr>
      <w:bookmarkStart w:id="272" w:name="_Toc989157"/>
      <w:r>
        <w:rPr>
          <w:rFonts w:ascii="宋体" w:eastAsia="宋体" w:hAnsi="宋体" w:cs="宋体"/>
          <w:b/>
          <w:bCs/>
          <w:szCs w:val="21"/>
        </w:rPr>
        <w:t>（1） 使用权资产情况</w:t>
      </w:r>
      <w:bookmarkEnd w:id="272"/>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运输工具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71,816,273.47</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345,956.44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72,162,229.91</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1,274,398.33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1,274,398.33</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（1）购置</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1,274,398.33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1,274,398.33</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1,361,056.24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1,361,056.24</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（1）其他</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1,361,056.24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1,361,056.24</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71,729,615.56</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345,956.44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72,075,572.00</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11,627,232.53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209,015.39</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11,836,247.92</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5,507,557.45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86,489.11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5,594,046.56</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5,507,557.45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86,489.11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5,594,046.56</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735,975.98</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735,975.98</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（2）其他</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735,975.98</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735,975.98</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16,398,814.00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295,504.50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16,694,318.50</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55,330,801.56</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50,451.94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55,381,253.50</w:t>
            </w:r>
          </w:p>
        </w:tc>
      </w:tr>
      <w:tr w:rsidR="00A27D66" w:rsidTr="004F0D6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60,189,040.94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136,941.05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60,325,981.99</w:t>
            </w:r>
          </w:p>
        </w:tc>
      </w:tr>
    </w:tbl>
    <w:p w:rsidR="00A27D66" w:rsidRDefault="00A2119D">
      <w:pPr>
        <w:keepNext/>
        <w:keepLines/>
        <w:spacing w:before="300" w:after="300" w:line="280" w:lineRule="exact"/>
        <w:outlineLvl w:val="3"/>
        <w:rPr>
          <w:rFonts w:ascii="宋体" w:eastAsia="宋体" w:hAnsi="宋体" w:cs="宋体"/>
          <w:b/>
          <w:bCs/>
          <w:szCs w:val="21"/>
        </w:rPr>
      </w:pPr>
      <w:bookmarkStart w:id="273" w:name="_Toc989158"/>
      <w:r>
        <w:rPr>
          <w:rFonts w:ascii="宋体" w:eastAsia="宋体" w:hAnsi="宋体" w:cs="宋体"/>
          <w:b/>
          <w:bCs/>
          <w:szCs w:val="21"/>
        </w:rPr>
        <w:t>（2） 使用权资产的减值测试情况</w:t>
      </w:r>
      <w:bookmarkEnd w:id="273"/>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274" w:name="_Toc989159"/>
      <w:r>
        <w:rPr>
          <w:rFonts w:ascii="宋体" w:hAnsi="宋体" w:cs="宋体"/>
          <w:b/>
          <w:bCs/>
        </w:rPr>
        <w:lastRenderedPageBreak/>
        <w:t>17、无形资产</w:t>
      </w:r>
      <w:bookmarkEnd w:id="274"/>
    </w:p>
    <w:p w:rsidR="00A27D66" w:rsidRDefault="00A2119D">
      <w:pPr>
        <w:keepNext/>
        <w:keepLines/>
        <w:spacing w:before="300" w:after="300" w:line="280" w:lineRule="exact"/>
        <w:outlineLvl w:val="3"/>
        <w:rPr>
          <w:rFonts w:ascii="宋体" w:eastAsia="宋体" w:hAnsi="宋体" w:cs="宋体"/>
          <w:b/>
          <w:bCs/>
          <w:szCs w:val="21"/>
        </w:rPr>
      </w:pPr>
      <w:bookmarkStart w:id="275" w:name="_Toc989160"/>
      <w:r>
        <w:rPr>
          <w:rFonts w:ascii="宋体" w:eastAsia="宋体" w:hAnsi="宋体" w:cs="宋体"/>
          <w:b/>
          <w:bCs/>
          <w:szCs w:val="21"/>
        </w:rPr>
        <w:t>（1） 无形资产情况</w:t>
      </w:r>
      <w:bookmarkEnd w:id="275"/>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专利权</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非专利技术</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软件</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2,500,980.42</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36,984,162.81</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2,184,312.12</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41,669,455.35</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5,493,900.00</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5,493,900.00</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（2）内部研发</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5,493,900.00</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5,493,900.00</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1,159,950.43</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876.60</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1,160,827.03</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876.60</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876.60</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（2）其他减少</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1,159,950.43</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1,159,950.43</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1,341,029.99</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42,478,062.81</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2,183,435.52</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46,002,528.32</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二、累计摊销</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1,381,825.56</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29,145,534.52</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1,035,975.55</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31,563,335.63</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26,820.60</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1,955,323.20</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203,225.88</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2,185,369.68</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26,820.60</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1,405,933.20</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203,225.88</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1,635,979.68</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549,390.00</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549,390.00</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653,199.38</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653,199.38</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（2）其他减少</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653,199.38</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653,199.38</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755,446.78</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31,100,857.72</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1,239,201.43</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33,095,505.93</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585,583.21</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11,377,205.09</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944,234.09</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12,907,022.39</w:t>
            </w:r>
          </w:p>
        </w:tc>
      </w:tr>
      <w:tr w:rsidR="00A27D66" w:rsidTr="007A4CB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7A4CB7">
            <w:pPr>
              <w:spacing w:before="40" w:after="40" w:line="240" w:lineRule="exact"/>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1,119,154.86</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7,838,628.29</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1,148,336.57</w:t>
            </w:r>
          </w:p>
        </w:tc>
        <w:tc>
          <w:tcPr>
            <w:tcW w:w="160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10,106,119.72</w:t>
            </w:r>
          </w:p>
        </w:tc>
      </w:tr>
    </w:tbl>
    <w:p w:rsidR="00A27D66" w:rsidRDefault="00A2119D">
      <w:pPr>
        <w:keepNext/>
        <w:keepLines/>
        <w:spacing w:before="300" w:after="300" w:line="280" w:lineRule="exact"/>
        <w:outlineLvl w:val="3"/>
        <w:rPr>
          <w:rFonts w:ascii="宋体" w:eastAsia="宋体" w:hAnsi="宋体" w:cs="宋体"/>
          <w:b/>
          <w:bCs/>
          <w:szCs w:val="21"/>
        </w:rPr>
      </w:pPr>
      <w:bookmarkStart w:id="276" w:name="_Toc989161"/>
      <w:r>
        <w:rPr>
          <w:rFonts w:ascii="宋体" w:eastAsia="宋体" w:hAnsi="宋体" w:cs="宋体"/>
          <w:b/>
          <w:bCs/>
          <w:szCs w:val="21"/>
        </w:rPr>
        <w:t>（2） 确认为无形资产的数据资源</w:t>
      </w:r>
      <w:bookmarkEnd w:id="276"/>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keepNext/>
        <w:keepLines/>
        <w:spacing w:before="300" w:after="300" w:line="280" w:lineRule="exact"/>
        <w:outlineLvl w:val="3"/>
        <w:rPr>
          <w:rFonts w:ascii="宋体" w:eastAsia="宋体" w:hAnsi="宋体" w:cs="宋体"/>
          <w:b/>
          <w:bCs/>
          <w:szCs w:val="21"/>
        </w:rPr>
      </w:pPr>
      <w:bookmarkStart w:id="277" w:name="_Toc989162"/>
      <w:r>
        <w:rPr>
          <w:rFonts w:ascii="宋体" w:eastAsia="宋体" w:hAnsi="宋体" w:cs="宋体"/>
          <w:b/>
          <w:bCs/>
          <w:szCs w:val="21"/>
        </w:rPr>
        <w:t>（3） 无形资产的减值测试情况</w:t>
      </w:r>
      <w:bookmarkEnd w:id="277"/>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278" w:name="_Toc989163"/>
      <w:r>
        <w:rPr>
          <w:rFonts w:ascii="宋体" w:hAnsi="宋体" w:cs="宋体"/>
          <w:b/>
          <w:bCs/>
        </w:rPr>
        <w:lastRenderedPageBreak/>
        <w:t>18、商誉</w:t>
      </w:r>
      <w:bookmarkEnd w:id="278"/>
    </w:p>
    <w:p w:rsidR="00A27D66" w:rsidRDefault="00A2119D">
      <w:pPr>
        <w:keepNext/>
        <w:keepLines/>
        <w:spacing w:before="300" w:after="300" w:line="280" w:lineRule="exact"/>
        <w:outlineLvl w:val="3"/>
        <w:rPr>
          <w:rFonts w:ascii="宋体" w:eastAsia="宋体" w:hAnsi="宋体" w:cs="宋体"/>
          <w:b/>
          <w:bCs/>
          <w:szCs w:val="21"/>
        </w:rPr>
      </w:pPr>
      <w:bookmarkStart w:id="279" w:name="_Toc989164"/>
      <w:r>
        <w:rPr>
          <w:rFonts w:ascii="宋体" w:eastAsia="宋体" w:hAnsi="宋体" w:cs="宋体"/>
          <w:b/>
          <w:bCs/>
          <w:szCs w:val="21"/>
        </w:rPr>
        <w:t>（1） 商誉账面原值</w:t>
      </w:r>
      <w:bookmarkEnd w:id="279"/>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600"/>
        <w:gridCol w:w="1154"/>
        <w:gridCol w:w="1377"/>
        <w:gridCol w:w="1377"/>
        <w:gridCol w:w="1053"/>
        <w:gridCol w:w="1701"/>
      </w:tblGrid>
      <w:tr w:rsidR="00A27D66" w:rsidTr="009E05D5">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6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53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43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rsidTr="009E05D5">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60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15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其他</w:t>
            </w:r>
          </w:p>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9E05D5">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升华电源</w:t>
            </w:r>
          </w:p>
        </w:tc>
        <w:tc>
          <w:tcPr>
            <w:tcW w:w="160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545,192,684.72</w:t>
            </w:r>
          </w:p>
        </w:tc>
        <w:tc>
          <w:tcPr>
            <w:tcW w:w="115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545,192,684.72</w:t>
            </w:r>
          </w:p>
        </w:tc>
      </w:tr>
      <w:tr w:rsidR="00A27D66" w:rsidTr="009E05D5">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沈阳含能</w:t>
            </w:r>
          </w:p>
        </w:tc>
        <w:tc>
          <w:tcPr>
            <w:tcW w:w="160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162,739,328.07</w:t>
            </w:r>
          </w:p>
        </w:tc>
        <w:tc>
          <w:tcPr>
            <w:tcW w:w="115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162,739,328.07</w:t>
            </w:r>
          </w:p>
        </w:tc>
      </w:tr>
      <w:tr w:rsidR="00A27D66" w:rsidTr="009E05D5">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沈阳非晶</w:t>
            </w:r>
          </w:p>
        </w:tc>
        <w:tc>
          <w:tcPr>
            <w:tcW w:w="160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68,361,708.64</w:t>
            </w:r>
          </w:p>
        </w:tc>
        <w:tc>
          <w:tcPr>
            <w:tcW w:w="115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68,361,708.64</w:t>
            </w:r>
          </w:p>
        </w:tc>
      </w:tr>
      <w:tr w:rsidR="00A27D66" w:rsidTr="009E05D5">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776,293,721.43</w:t>
            </w:r>
          </w:p>
        </w:tc>
        <w:tc>
          <w:tcPr>
            <w:tcW w:w="115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776,293,721.43</w:t>
            </w:r>
          </w:p>
        </w:tc>
      </w:tr>
    </w:tbl>
    <w:p w:rsidR="00A27D66" w:rsidRDefault="00A2119D">
      <w:pPr>
        <w:keepNext/>
        <w:keepLines/>
        <w:spacing w:before="300" w:after="300" w:line="280" w:lineRule="exact"/>
        <w:outlineLvl w:val="3"/>
        <w:rPr>
          <w:rFonts w:ascii="宋体" w:eastAsia="宋体" w:hAnsi="宋体" w:cs="宋体"/>
          <w:b/>
          <w:bCs/>
          <w:szCs w:val="21"/>
        </w:rPr>
      </w:pPr>
      <w:bookmarkStart w:id="280" w:name="_Toc989165"/>
      <w:r>
        <w:rPr>
          <w:rFonts w:ascii="宋体" w:eastAsia="宋体" w:hAnsi="宋体" w:cs="宋体"/>
          <w:b/>
          <w:bCs/>
          <w:szCs w:val="21"/>
        </w:rPr>
        <w:t>（2） 商誉减值准备</w:t>
      </w:r>
      <w:bookmarkEnd w:id="280"/>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214"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884"/>
        <w:gridCol w:w="1134"/>
        <w:gridCol w:w="891"/>
        <w:gridCol w:w="11"/>
        <w:gridCol w:w="920"/>
        <w:gridCol w:w="830"/>
        <w:gridCol w:w="16"/>
        <w:gridCol w:w="2151"/>
      </w:tblGrid>
      <w:tr w:rsidR="00A27D66" w:rsidTr="009E05D5">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8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03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766"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215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rsidTr="009E05D5">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88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89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其他</w:t>
            </w:r>
          </w:p>
        </w:tc>
        <w:tc>
          <w:tcPr>
            <w:tcW w:w="93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83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center"/>
              <w:rPr>
                <w:rFonts w:ascii="宋体" w:eastAsia="宋体" w:hAnsi="宋体" w:cs="宋体"/>
                <w:sz w:val="18"/>
                <w:szCs w:val="18"/>
              </w:rPr>
            </w:pPr>
            <w:r>
              <w:rPr>
                <w:rFonts w:ascii="宋体" w:eastAsia="宋体" w:hAnsi="宋体" w:cs="宋体"/>
                <w:sz w:val="18"/>
                <w:szCs w:val="18"/>
              </w:rPr>
              <w:t>其他</w:t>
            </w:r>
          </w:p>
        </w:tc>
        <w:tc>
          <w:tcPr>
            <w:tcW w:w="216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9E05D5">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升华电源</w:t>
            </w:r>
          </w:p>
        </w:tc>
        <w:tc>
          <w:tcPr>
            <w:tcW w:w="188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151,190,139.84</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9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31" w:type="dxa"/>
            <w:gridSpan w:val="2"/>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3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167" w:type="dxa"/>
            <w:gridSpan w:val="2"/>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151,190,139.84</w:t>
            </w:r>
          </w:p>
        </w:tc>
      </w:tr>
      <w:tr w:rsidR="00A27D66" w:rsidTr="009E05D5">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沈阳含能</w:t>
            </w:r>
          </w:p>
        </w:tc>
        <w:tc>
          <w:tcPr>
            <w:tcW w:w="188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162,739,328.07</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9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31" w:type="dxa"/>
            <w:gridSpan w:val="2"/>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3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167" w:type="dxa"/>
            <w:gridSpan w:val="2"/>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162,739,328.07</w:t>
            </w:r>
          </w:p>
        </w:tc>
      </w:tr>
      <w:tr w:rsidR="00A27D66" w:rsidTr="009E05D5">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884"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313,929,467.91</w:t>
            </w:r>
          </w:p>
        </w:tc>
        <w:tc>
          <w:tcPr>
            <w:tcW w:w="1134"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9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931" w:type="dxa"/>
            <w:gridSpan w:val="2"/>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83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167" w:type="dxa"/>
            <w:gridSpan w:val="2"/>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313,929,467.91</w:t>
            </w:r>
          </w:p>
        </w:tc>
      </w:tr>
    </w:tbl>
    <w:p w:rsidR="00A27D66" w:rsidRDefault="00A2119D">
      <w:pPr>
        <w:keepNext/>
        <w:keepLines/>
        <w:spacing w:before="300" w:after="300" w:line="280" w:lineRule="exact"/>
        <w:outlineLvl w:val="3"/>
        <w:rPr>
          <w:rFonts w:ascii="宋体" w:eastAsia="宋体" w:hAnsi="宋体" w:cs="宋体"/>
          <w:b/>
          <w:bCs/>
          <w:szCs w:val="21"/>
        </w:rPr>
      </w:pPr>
      <w:bookmarkStart w:id="281" w:name="_Toc989166"/>
      <w:r>
        <w:rPr>
          <w:rFonts w:ascii="宋体" w:eastAsia="宋体" w:hAnsi="宋体" w:cs="宋体"/>
          <w:b/>
          <w:bCs/>
          <w:szCs w:val="21"/>
        </w:rPr>
        <w:t>（3） 商誉所在资产组或资产组组合的相关信息</w:t>
      </w:r>
      <w:bookmarkEnd w:id="281"/>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rsidTr="00953733">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所属资产组或组合的构成及依据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所属经营分部及依据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是否与以前年度保持一致</w:t>
            </w:r>
          </w:p>
        </w:tc>
      </w:tr>
      <w:tr w:rsidR="00A27D66" w:rsidTr="0095373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升华电源</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固定资产、无形资产等长期资产</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 升华电源</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r w:rsidR="00A27D66" w:rsidTr="00953733">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沈阳非晶</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固定资产、无形资产等长期资产</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 沈阳非晶</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是</w:t>
            </w:r>
          </w:p>
        </w:tc>
      </w:tr>
    </w:tbl>
    <w:p w:rsidR="00953733" w:rsidRPr="00953733" w:rsidRDefault="00953733" w:rsidP="00953733">
      <w:pPr>
        <w:spacing w:line="360" w:lineRule="auto"/>
        <w:ind w:firstLineChars="200" w:firstLine="420"/>
        <w:rPr>
          <w:rFonts w:ascii="宋体" w:eastAsia="宋体" w:hAnsi="宋体" w:cs="宋体"/>
          <w:szCs w:val="21"/>
        </w:rPr>
      </w:pPr>
      <w:bookmarkStart w:id="282" w:name="_Toc989167"/>
      <w:r w:rsidRPr="00953733">
        <w:rPr>
          <w:rFonts w:ascii="宋体" w:eastAsia="宋体" w:hAnsi="宋体" w:cs="宋体" w:hint="eastAsia"/>
          <w:szCs w:val="21"/>
        </w:rPr>
        <w:t>公司</w:t>
      </w:r>
      <w:proofErr w:type="gramStart"/>
      <w:r w:rsidRPr="00953733">
        <w:rPr>
          <w:rFonts w:ascii="宋体" w:eastAsia="宋体" w:hAnsi="宋体" w:cs="宋体" w:hint="eastAsia"/>
          <w:szCs w:val="21"/>
        </w:rPr>
        <w:t>期末对</w:t>
      </w:r>
      <w:proofErr w:type="gramEnd"/>
      <w:r w:rsidRPr="00953733">
        <w:rPr>
          <w:rFonts w:ascii="宋体" w:eastAsia="宋体" w:hAnsi="宋体" w:cs="宋体" w:hint="eastAsia"/>
          <w:szCs w:val="21"/>
        </w:rPr>
        <w:t>与商誉相关的各资产组进行了减值测试，首先将该商誉及归属于少数股东权益的商誉包括在内，调整各资产组的账面价值，然后将调整后的各资产账面价值</w:t>
      </w:r>
      <w:proofErr w:type="gramStart"/>
      <w:r w:rsidRPr="00953733">
        <w:rPr>
          <w:rFonts w:ascii="宋体" w:eastAsia="宋体" w:hAnsi="宋体" w:cs="宋体" w:hint="eastAsia"/>
          <w:szCs w:val="21"/>
        </w:rPr>
        <w:t>与其可</w:t>
      </w:r>
      <w:proofErr w:type="gramEnd"/>
      <w:r w:rsidRPr="00953733">
        <w:rPr>
          <w:rFonts w:ascii="宋体" w:eastAsia="宋体" w:hAnsi="宋体" w:cs="宋体" w:hint="eastAsia"/>
          <w:szCs w:val="21"/>
        </w:rPr>
        <w:t>收回金额进行比较，以确定各资产组（包括商誉）是否发生了减值。</w:t>
      </w:r>
    </w:p>
    <w:p w:rsidR="00953733" w:rsidRPr="00953733" w:rsidRDefault="00953733" w:rsidP="00953733">
      <w:pPr>
        <w:spacing w:line="360" w:lineRule="auto"/>
        <w:ind w:firstLineChars="200" w:firstLine="420"/>
        <w:rPr>
          <w:rFonts w:ascii="宋体" w:eastAsia="宋体" w:hAnsi="宋体" w:cs="宋体"/>
          <w:szCs w:val="21"/>
        </w:rPr>
      </w:pPr>
      <w:r w:rsidRPr="00953733">
        <w:rPr>
          <w:rFonts w:ascii="宋体" w:eastAsia="宋体" w:hAnsi="宋体" w:cs="宋体" w:hint="eastAsia"/>
          <w:szCs w:val="21"/>
        </w:rPr>
        <w:t>商誉减值测试情况如下：</w:t>
      </w:r>
    </w:p>
    <w:tbl>
      <w:tblPr>
        <w:tblStyle w:val="a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104"/>
        <w:gridCol w:w="2268"/>
        <w:gridCol w:w="1985"/>
      </w:tblGrid>
      <w:tr w:rsidR="00953733" w:rsidRPr="00953733" w:rsidTr="00953733">
        <w:trPr>
          <w:cantSplit/>
          <w:trHeight w:val="397"/>
          <w:tblHeader/>
        </w:trPr>
        <w:tc>
          <w:tcPr>
            <w:tcW w:w="5104" w:type="dxa"/>
            <w:shd w:val="clear" w:color="auto" w:fill="auto"/>
            <w:noWrap/>
            <w:vAlign w:val="center"/>
          </w:tcPr>
          <w:p w:rsidR="00953733" w:rsidRPr="00953733" w:rsidRDefault="00953733" w:rsidP="00953733">
            <w:pPr>
              <w:widowControl/>
              <w:adjustRightInd w:val="0"/>
              <w:snapToGrid w:val="0"/>
              <w:jc w:val="center"/>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t>项目</w:t>
            </w:r>
          </w:p>
        </w:tc>
        <w:tc>
          <w:tcPr>
            <w:tcW w:w="2268" w:type="dxa"/>
            <w:shd w:val="clear" w:color="auto" w:fill="auto"/>
            <w:noWrap/>
            <w:vAlign w:val="center"/>
          </w:tcPr>
          <w:p w:rsidR="00953733" w:rsidRPr="00953733" w:rsidRDefault="00953733" w:rsidP="00953733">
            <w:pPr>
              <w:widowControl/>
              <w:adjustRightInd w:val="0"/>
              <w:snapToGrid w:val="0"/>
              <w:jc w:val="center"/>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t>升华电源</w:t>
            </w:r>
          </w:p>
        </w:tc>
        <w:tc>
          <w:tcPr>
            <w:tcW w:w="1985" w:type="dxa"/>
            <w:shd w:val="clear" w:color="auto" w:fill="auto"/>
            <w:noWrap/>
            <w:vAlign w:val="center"/>
          </w:tcPr>
          <w:p w:rsidR="00953733" w:rsidRPr="00953733" w:rsidRDefault="00953733" w:rsidP="00953733">
            <w:pPr>
              <w:widowControl/>
              <w:adjustRightInd w:val="0"/>
              <w:snapToGrid w:val="0"/>
              <w:jc w:val="center"/>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t>沈阳非晶</w:t>
            </w:r>
          </w:p>
        </w:tc>
      </w:tr>
      <w:tr w:rsidR="00953733" w:rsidRPr="00953733" w:rsidTr="00953733">
        <w:trPr>
          <w:cantSplit/>
          <w:trHeight w:val="397"/>
        </w:trPr>
        <w:tc>
          <w:tcPr>
            <w:tcW w:w="5104" w:type="dxa"/>
            <w:shd w:val="clear" w:color="auto" w:fill="auto"/>
            <w:noWrap/>
            <w:vAlign w:val="center"/>
          </w:tcPr>
          <w:p w:rsidR="00953733" w:rsidRPr="00953733" w:rsidRDefault="00953733" w:rsidP="00953733">
            <w:pPr>
              <w:widowControl/>
              <w:adjustRightInd w:val="0"/>
              <w:snapToGrid w:val="0"/>
              <w:jc w:val="left"/>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t>商誉账面余额①</w:t>
            </w:r>
          </w:p>
        </w:tc>
        <w:tc>
          <w:tcPr>
            <w:tcW w:w="2268" w:type="dxa"/>
            <w:shd w:val="clear" w:color="auto" w:fill="auto"/>
            <w:noWrap/>
            <w:vAlign w:val="center"/>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napToGrid w:val="0"/>
                <w:color w:val="000000" w:themeColor="text1"/>
                <w:sz w:val="18"/>
                <w:szCs w:val="18"/>
              </w:rPr>
              <w:t>545,192,684.72</w:t>
            </w:r>
          </w:p>
        </w:tc>
        <w:tc>
          <w:tcPr>
            <w:tcW w:w="1985" w:type="dxa"/>
            <w:shd w:val="clear" w:color="auto" w:fill="auto"/>
            <w:noWrap/>
            <w:vAlign w:val="center"/>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napToGrid w:val="0"/>
                <w:color w:val="000000" w:themeColor="text1"/>
                <w:sz w:val="18"/>
                <w:szCs w:val="18"/>
              </w:rPr>
              <w:t>68,361,708.64</w:t>
            </w:r>
          </w:p>
        </w:tc>
      </w:tr>
      <w:tr w:rsidR="00953733" w:rsidRPr="00953733" w:rsidTr="00953733">
        <w:trPr>
          <w:cantSplit/>
          <w:trHeight w:val="397"/>
        </w:trPr>
        <w:tc>
          <w:tcPr>
            <w:tcW w:w="5104" w:type="dxa"/>
            <w:shd w:val="clear" w:color="auto" w:fill="auto"/>
            <w:noWrap/>
            <w:vAlign w:val="center"/>
          </w:tcPr>
          <w:p w:rsidR="00953733" w:rsidRPr="00953733" w:rsidRDefault="00953733" w:rsidP="00953733">
            <w:pPr>
              <w:widowControl/>
              <w:adjustRightInd w:val="0"/>
              <w:snapToGrid w:val="0"/>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t>商誉减值准备余额②</w:t>
            </w:r>
          </w:p>
        </w:tc>
        <w:tc>
          <w:tcPr>
            <w:tcW w:w="2268" w:type="dxa"/>
            <w:shd w:val="clear" w:color="auto" w:fill="auto"/>
            <w:noWrap/>
            <w:vAlign w:val="center"/>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napToGrid w:val="0"/>
                <w:color w:val="000000" w:themeColor="text1"/>
                <w:sz w:val="18"/>
                <w:szCs w:val="18"/>
              </w:rPr>
              <w:t>151,190,139.84</w:t>
            </w:r>
          </w:p>
        </w:tc>
        <w:tc>
          <w:tcPr>
            <w:tcW w:w="1985" w:type="dxa"/>
            <w:shd w:val="clear" w:color="auto" w:fill="auto"/>
            <w:noWrap/>
            <w:vAlign w:val="center"/>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napToGrid w:val="0"/>
                <w:color w:val="000000" w:themeColor="text1"/>
                <w:sz w:val="18"/>
                <w:szCs w:val="18"/>
              </w:rPr>
              <w:t>-</w:t>
            </w:r>
          </w:p>
        </w:tc>
      </w:tr>
      <w:tr w:rsidR="00953733" w:rsidRPr="00953733" w:rsidTr="00953733">
        <w:trPr>
          <w:cantSplit/>
          <w:trHeight w:val="397"/>
        </w:trPr>
        <w:tc>
          <w:tcPr>
            <w:tcW w:w="5104" w:type="dxa"/>
            <w:shd w:val="clear" w:color="auto" w:fill="auto"/>
            <w:noWrap/>
            <w:vAlign w:val="center"/>
          </w:tcPr>
          <w:p w:rsidR="00953733" w:rsidRPr="00953733" w:rsidRDefault="00953733" w:rsidP="00953733">
            <w:pPr>
              <w:widowControl/>
              <w:adjustRightInd w:val="0"/>
              <w:snapToGrid w:val="0"/>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t>商誉的账面价值③</w:t>
            </w:r>
            <w:r w:rsidRPr="00953733">
              <w:rPr>
                <w:rFonts w:ascii="宋体" w:hAnsi="宋体"/>
                <w:snapToGrid w:val="0"/>
                <w:color w:val="000000" w:themeColor="text1"/>
                <w:sz w:val="18"/>
                <w:szCs w:val="18"/>
              </w:rPr>
              <w:t>=</w:t>
            </w:r>
            <w:r w:rsidRPr="00953733">
              <w:rPr>
                <w:rFonts w:ascii="宋体" w:hAnsi="宋体" w:cs="宋体" w:hint="eastAsia"/>
                <w:snapToGrid w:val="0"/>
                <w:color w:val="000000" w:themeColor="text1"/>
                <w:sz w:val="18"/>
                <w:szCs w:val="18"/>
              </w:rPr>
              <w:t>①</w:t>
            </w:r>
            <w:r w:rsidRPr="00953733">
              <w:rPr>
                <w:rFonts w:ascii="宋体" w:hAnsi="宋体"/>
                <w:snapToGrid w:val="0"/>
                <w:color w:val="000000" w:themeColor="text1"/>
                <w:sz w:val="18"/>
                <w:szCs w:val="18"/>
              </w:rPr>
              <w:t>-</w:t>
            </w:r>
            <w:r w:rsidRPr="00953733">
              <w:rPr>
                <w:rFonts w:ascii="宋体" w:hAnsi="宋体" w:cs="宋体" w:hint="eastAsia"/>
                <w:snapToGrid w:val="0"/>
                <w:color w:val="000000" w:themeColor="text1"/>
                <w:sz w:val="18"/>
                <w:szCs w:val="18"/>
              </w:rPr>
              <w:t>②</w:t>
            </w:r>
          </w:p>
        </w:tc>
        <w:tc>
          <w:tcPr>
            <w:tcW w:w="2268"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394,002,544.88</w:t>
            </w:r>
          </w:p>
        </w:tc>
        <w:tc>
          <w:tcPr>
            <w:tcW w:w="1985"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68,361,708.64</w:t>
            </w:r>
          </w:p>
        </w:tc>
      </w:tr>
      <w:tr w:rsidR="00953733" w:rsidRPr="00953733" w:rsidTr="00953733">
        <w:trPr>
          <w:cantSplit/>
          <w:trHeight w:val="397"/>
        </w:trPr>
        <w:tc>
          <w:tcPr>
            <w:tcW w:w="5104" w:type="dxa"/>
            <w:shd w:val="clear" w:color="auto" w:fill="auto"/>
            <w:noWrap/>
            <w:vAlign w:val="center"/>
          </w:tcPr>
          <w:p w:rsidR="00953733" w:rsidRPr="00953733" w:rsidRDefault="00953733" w:rsidP="00953733">
            <w:pPr>
              <w:widowControl/>
              <w:adjustRightInd w:val="0"/>
              <w:snapToGrid w:val="0"/>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t>未确认归属于少数股东权益的商誉价值④</w:t>
            </w:r>
          </w:p>
        </w:tc>
        <w:tc>
          <w:tcPr>
            <w:tcW w:w="2268"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w:t>
            </w:r>
          </w:p>
        </w:tc>
        <w:tc>
          <w:tcPr>
            <w:tcW w:w="1985"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52,269,504.77</w:t>
            </w:r>
          </w:p>
        </w:tc>
      </w:tr>
      <w:tr w:rsidR="00953733" w:rsidRPr="00953733" w:rsidTr="00953733">
        <w:trPr>
          <w:cantSplit/>
          <w:trHeight w:val="397"/>
        </w:trPr>
        <w:tc>
          <w:tcPr>
            <w:tcW w:w="5104" w:type="dxa"/>
            <w:shd w:val="clear" w:color="auto" w:fill="auto"/>
            <w:noWrap/>
            <w:vAlign w:val="center"/>
          </w:tcPr>
          <w:p w:rsidR="00953733" w:rsidRPr="00953733" w:rsidRDefault="00953733" w:rsidP="00953733">
            <w:pPr>
              <w:widowControl/>
              <w:adjustRightInd w:val="0"/>
              <w:snapToGrid w:val="0"/>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t>包含未确认归属于少数股东权益的商誉价值⑤</w:t>
            </w:r>
            <w:r w:rsidRPr="00953733">
              <w:rPr>
                <w:rFonts w:ascii="宋体" w:hAnsi="宋体"/>
                <w:snapToGrid w:val="0"/>
                <w:color w:val="000000" w:themeColor="text1"/>
                <w:sz w:val="18"/>
                <w:szCs w:val="18"/>
              </w:rPr>
              <w:t>=</w:t>
            </w:r>
            <w:r w:rsidRPr="00953733">
              <w:rPr>
                <w:rFonts w:ascii="宋体" w:hAnsi="宋体" w:cs="宋体" w:hint="eastAsia"/>
                <w:snapToGrid w:val="0"/>
                <w:color w:val="000000" w:themeColor="text1"/>
                <w:sz w:val="18"/>
                <w:szCs w:val="18"/>
              </w:rPr>
              <w:t>④</w:t>
            </w:r>
            <w:r w:rsidRPr="00953733">
              <w:rPr>
                <w:rFonts w:ascii="宋体" w:hAnsi="宋体"/>
                <w:snapToGrid w:val="0"/>
                <w:color w:val="000000" w:themeColor="text1"/>
                <w:sz w:val="18"/>
                <w:szCs w:val="18"/>
              </w:rPr>
              <w:t>+</w:t>
            </w:r>
            <w:r w:rsidRPr="00953733">
              <w:rPr>
                <w:rFonts w:ascii="宋体" w:hAnsi="宋体" w:cs="宋体" w:hint="eastAsia"/>
                <w:snapToGrid w:val="0"/>
                <w:color w:val="000000" w:themeColor="text1"/>
                <w:sz w:val="18"/>
                <w:szCs w:val="18"/>
              </w:rPr>
              <w:t>③</w:t>
            </w:r>
          </w:p>
        </w:tc>
        <w:tc>
          <w:tcPr>
            <w:tcW w:w="2268"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394,002,544.88</w:t>
            </w:r>
          </w:p>
        </w:tc>
        <w:tc>
          <w:tcPr>
            <w:tcW w:w="1985"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120,631,213.41</w:t>
            </w:r>
          </w:p>
        </w:tc>
      </w:tr>
      <w:tr w:rsidR="00953733" w:rsidRPr="00953733" w:rsidTr="00953733">
        <w:trPr>
          <w:cantSplit/>
          <w:trHeight w:val="397"/>
        </w:trPr>
        <w:tc>
          <w:tcPr>
            <w:tcW w:w="5104" w:type="dxa"/>
            <w:shd w:val="clear" w:color="auto" w:fill="auto"/>
            <w:noWrap/>
            <w:vAlign w:val="center"/>
          </w:tcPr>
          <w:p w:rsidR="00953733" w:rsidRPr="00953733" w:rsidRDefault="00953733" w:rsidP="00953733">
            <w:pPr>
              <w:widowControl/>
              <w:adjustRightInd w:val="0"/>
              <w:snapToGrid w:val="0"/>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t>资产组的账面价值⑥</w:t>
            </w:r>
          </w:p>
        </w:tc>
        <w:tc>
          <w:tcPr>
            <w:tcW w:w="2268"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49,809,656.09</w:t>
            </w:r>
          </w:p>
        </w:tc>
        <w:tc>
          <w:tcPr>
            <w:tcW w:w="1985"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13,157,966.07</w:t>
            </w:r>
          </w:p>
        </w:tc>
      </w:tr>
      <w:tr w:rsidR="00953733" w:rsidRPr="00953733" w:rsidTr="00953733">
        <w:trPr>
          <w:cantSplit/>
          <w:trHeight w:val="397"/>
        </w:trPr>
        <w:tc>
          <w:tcPr>
            <w:tcW w:w="5104" w:type="dxa"/>
            <w:shd w:val="clear" w:color="auto" w:fill="auto"/>
            <w:noWrap/>
            <w:vAlign w:val="center"/>
          </w:tcPr>
          <w:p w:rsidR="00953733" w:rsidRPr="00953733" w:rsidRDefault="00953733" w:rsidP="00953733">
            <w:pPr>
              <w:widowControl/>
              <w:adjustRightInd w:val="0"/>
              <w:snapToGrid w:val="0"/>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t>包含整体商誉的资产组的账面价值⑦=⑤+⑥</w:t>
            </w:r>
          </w:p>
        </w:tc>
        <w:tc>
          <w:tcPr>
            <w:tcW w:w="2268"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443,812,200.97</w:t>
            </w:r>
          </w:p>
        </w:tc>
        <w:tc>
          <w:tcPr>
            <w:tcW w:w="1985"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133,789,179.48</w:t>
            </w:r>
          </w:p>
        </w:tc>
      </w:tr>
      <w:tr w:rsidR="00953733" w:rsidRPr="00953733" w:rsidTr="00953733">
        <w:trPr>
          <w:cantSplit/>
          <w:trHeight w:val="397"/>
        </w:trPr>
        <w:tc>
          <w:tcPr>
            <w:tcW w:w="5104" w:type="dxa"/>
            <w:shd w:val="clear" w:color="auto" w:fill="auto"/>
            <w:noWrap/>
            <w:vAlign w:val="center"/>
          </w:tcPr>
          <w:p w:rsidR="00953733" w:rsidRPr="00953733" w:rsidRDefault="00953733" w:rsidP="00953733">
            <w:pPr>
              <w:widowControl/>
              <w:adjustRightInd w:val="0"/>
              <w:snapToGrid w:val="0"/>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lastRenderedPageBreak/>
              <w:t>可回收金额⑧</w:t>
            </w:r>
          </w:p>
        </w:tc>
        <w:tc>
          <w:tcPr>
            <w:tcW w:w="2268"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452,788,932.63</w:t>
            </w:r>
          </w:p>
        </w:tc>
        <w:tc>
          <w:tcPr>
            <w:tcW w:w="1985"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135,335,439.10</w:t>
            </w:r>
          </w:p>
        </w:tc>
      </w:tr>
      <w:tr w:rsidR="00953733" w:rsidRPr="00953733" w:rsidTr="00953733">
        <w:trPr>
          <w:cantSplit/>
          <w:trHeight w:val="397"/>
        </w:trPr>
        <w:tc>
          <w:tcPr>
            <w:tcW w:w="5104" w:type="dxa"/>
            <w:shd w:val="clear" w:color="auto" w:fill="auto"/>
            <w:noWrap/>
            <w:vAlign w:val="center"/>
          </w:tcPr>
          <w:p w:rsidR="00953733" w:rsidRPr="00953733" w:rsidRDefault="00953733" w:rsidP="00953733">
            <w:pPr>
              <w:widowControl/>
              <w:adjustRightInd w:val="0"/>
              <w:snapToGrid w:val="0"/>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t>整体商誉减值损失（大于0小于⑤）⑨=⑦-⑧</w:t>
            </w:r>
          </w:p>
        </w:tc>
        <w:tc>
          <w:tcPr>
            <w:tcW w:w="2268"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w:t>
            </w:r>
          </w:p>
        </w:tc>
        <w:tc>
          <w:tcPr>
            <w:tcW w:w="1985"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w:t>
            </w:r>
          </w:p>
        </w:tc>
      </w:tr>
      <w:tr w:rsidR="00953733" w:rsidRPr="00953733" w:rsidTr="00953733">
        <w:trPr>
          <w:cantSplit/>
          <w:trHeight w:val="397"/>
        </w:trPr>
        <w:tc>
          <w:tcPr>
            <w:tcW w:w="5104" w:type="dxa"/>
            <w:shd w:val="clear" w:color="auto" w:fill="auto"/>
            <w:noWrap/>
            <w:vAlign w:val="center"/>
          </w:tcPr>
          <w:p w:rsidR="00953733" w:rsidRPr="00953733" w:rsidRDefault="00953733" w:rsidP="00953733">
            <w:pPr>
              <w:widowControl/>
              <w:adjustRightInd w:val="0"/>
              <w:snapToGrid w:val="0"/>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t>收购比例⑩</w:t>
            </w:r>
          </w:p>
        </w:tc>
        <w:tc>
          <w:tcPr>
            <w:tcW w:w="2268"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100.00%</w:t>
            </w:r>
          </w:p>
        </w:tc>
        <w:tc>
          <w:tcPr>
            <w:tcW w:w="1985"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56.67%</w:t>
            </w:r>
          </w:p>
        </w:tc>
      </w:tr>
      <w:tr w:rsidR="00953733" w:rsidRPr="00953733" w:rsidTr="00953733">
        <w:trPr>
          <w:cantSplit/>
          <w:trHeight w:val="397"/>
        </w:trPr>
        <w:tc>
          <w:tcPr>
            <w:tcW w:w="5104" w:type="dxa"/>
            <w:shd w:val="clear" w:color="auto" w:fill="auto"/>
            <w:noWrap/>
            <w:vAlign w:val="center"/>
          </w:tcPr>
          <w:p w:rsidR="00953733" w:rsidRPr="00953733" w:rsidRDefault="00953733" w:rsidP="00953733">
            <w:pPr>
              <w:widowControl/>
              <w:adjustRightInd w:val="0"/>
              <w:snapToGrid w:val="0"/>
              <w:rPr>
                <w:rFonts w:ascii="宋体" w:hAnsi="宋体" w:cs="宋体"/>
                <w:snapToGrid w:val="0"/>
                <w:color w:val="000000" w:themeColor="text1"/>
                <w:sz w:val="18"/>
                <w:szCs w:val="18"/>
              </w:rPr>
            </w:pPr>
            <w:r w:rsidRPr="00953733">
              <w:rPr>
                <w:rFonts w:ascii="宋体" w:hAnsi="宋体" w:cs="宋体" w:hint="eastAsia"/>
                <w:snapToGrid w:val="0"/>
                <w:color w:val="000000" w:themeColor="text1"/>
                <w:sz w:val="18"/>
                <w:szCs w:val="18"/>
              </w:rPr>
              <w:t>归属于母公司的商誉减值损失</w:t>
            </w:r>
            <w:r w:rsidRPr="00953733">
              <w:rPr>
                <w:rFonts w:ascii="Cambria Math" w:hAnsi="Cambria Math" w:cs="Cambria Math"/>
                <w:snapToGrid w:val="0"/>
                <w:color w:val="000000" w:themeColor="text1"/>
                <w:sz w:val="18"/>
                <w:szCs w:val="18"/>
              </w:rPr>
              <w:t>⑪</w:t>
            </w:r>
            <w:r w:rsidRPr="00953733">
              <w:rPr>
                <w:rFonts w:ascii="宋体" w:hAnsi="宋体" w:cs="宋体" w:hint="eastAsia"/>
                <w:snapToGrid w:val="0"/>
                <w:color w:val="000000" w:themeColor="text1"/>
                <w:sz w:val="18"/>
                <w:szCs w:val="18"/>
              </w:rPr>
              <w:t>=⑨*⑩</w:t>
            </w:r>
          </w:p>
        </w:tc>
        <w:tc>
          <w:tcPr>
            <w:tcW w:w="2268"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w:t>
            </w:r>
          </w:p>
        </w:tc>
        <w:tc>
          <w:tcPr>
            <w:tcW w:w="1985" w:type="dxa"/>
            <w:shd w:val="clear" w:color="auto" w:fill="auto"/>
            <w:noWrap/>
          </w:tcPr>
          <w:p w:rsidR="00953733" w:rsidRPr="00953733" w:rsidRDefault="00953733" w:rsidP="00953733">
            <w:pPr>
              <w:widowControl/>
              <w:adjustRightInd w:val="0"/>
              <w:snapToGrid w:val="0"/>
              <w:jc w:val="right"/>
              <w:rPr>
                <w:rFonts w:ascii="宋体" w:hAnsi="宋体"/>
                <w:snapToGrid w:val="0"/>
                <w:color w:val="000000" w:themeColor="text1"/>
                <w:sz w:val="18"/>
                <w:szCs w:val="18"/>
              </w:rPr>
            </w:pPr>
            <w:r w:rsidRPr="00953733">
              <w:rPr>
                <w:rFonts w:ascii="宋体" w:hAnsi="宋体"/>
                <w:sz w:val="18"/>
                <w:szCs w:val="18"/>
              </w:rPr>
              <w:t>-</w:t>
            </w:r>
          </w:p>
        </w:tc>
      </w:tr>
    </w:tbl>
    <w:p w:rsidR="00A27D66" w:rsidRDefault="00A2119D">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（4） 可收回金额的具体确定方法</w:t>
      </w:r>
      <w:bookmarkEnd w:id="282"/>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A27D66" w:rsidTr="00953733">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可收回金额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减值金额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预测期的年限</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预测期的关键参数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稳定期的关键参数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稳定期的关键参数的确定依据</w:t>
            </w:r>
          </w:p>
        </w:tc>
      </w:tr>
      <w:tr w:rsidR="00E503CD" w:rsidTr="00953733">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rPr>
                <w:rFonts w:ascii="宋体" w:eastAsia="宋体" w:hAnsi="宋体" w:cs="宋体"/>
                <w:sz w:val="18"/>
                <w:szCs w:val="18"/>
              </w:rPr>
            </w:pPr>
            <w:r>
              <w:rPr>
                <w:rFonts w:ascii="宋体" w:eastAsia="宋体" w:hAnsi="宋体" w:cs="宋体"/>
                <w:sz w:val="18"/>
                <w:szCs w:val="18"/>
              </w:rPr>
              <w:t>升华电源</w:t>
            </w:r>
          </w:p>
        </w:tc>
        <w:tc>
          <w:tcPr>
            <w:tcW w:w="1205"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jc w:val="right"/>
              <w:rPr>
                <w:rFonts w:ascii="宋体" w:eastAsia="宋体" w:hAnsi="宋体" w:cs="宋体"/>
                <w:sz w:val="18"/>
                <w:szCs w:val="18"/>
              </w:rPr>
            </w:pPr>
            <w:r>
              <w:rPr>
                <w:rFonts w:ascii="宋体" w:eastAsia="宋体" w:hAnsi="宋体" w:cs="宋体"/>
                <w:sz w:val="18"/>
                <w:szCs w:val="18"/>
              </w:rPr>
              <w:t>443,812,200.97</w:t>
            </w:r>
          </w:p>
        </w:tc>
        <w:tc>
          <w:tcPr>
            <w:tcW w:w="1205"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jc w:val="right"/>
              <w:rPr>
                <w:rFonts w:ascii="宋体" w:eastAsia="宋体" w:hAnsi="宋体" w:cs="宋体"/>
                <w:sz w:val="18"/>
                <w:szCs w:val="18"/>
              </w:rPr>
            </w:pPr>
            <w:r w:rsidRPr="006231B4">
              <w:rPr>
                <w:rFonts w:ascii="宋体" w:eastAsia="宋体" w:hAnsi="宋体" w:cs="宋体"/>
                <w:sz w:val="18"/>
                <w:szCs w:val="18"/>
              </w:rPr>
              <w:t>452,788,932.63</w:t>
            </w:r>
          </w:p>
        </w:tc>
        <w:tc>
          <w:tcPr>
            <w:tcW w:w="1205"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rPr>
                <w:rFonts w:ascii="宋体" w:eastAsia="宋体" w:hAnsi="宋体" w:cs="宋体"/>
                <w:sz w:val="18"/>
                <w:szCs w:val="18"/>
              </w:rPr>
            </w:pPr>
            <w:r>
              <w:rPr>
                <w:rFonts w:ascii="宋体" w:eastAsia="宋体" w:hAnsi="宋体" w:cs="宋体"/>
                <w:sz w:val="18"/>
                <w:szCs w:val="18"/>
              </w:rPr>
              <w:t>5年</w:t>
            </w:r>
          </w:p>
        </w:tc>
        <w:tc>
          <w:tcPr>
            <w:tcW w:w="1205" w:type="dxa"/>
            <w:tcBorders>
              <w:top w:val="single" w:sz="2" w:space="0" w:color="auto"/>
              <w:left w:val="single" w:sz="2" w:space="0" w:color="auto"/>
              <w:bottom w:val="single" w:sz="2" w:space="0" w:color="auto"/>
              <w:right w:val="single" w:sz="2" w:space="0" w:color="auto"/>
            </w:tcBorders>
            <w:vAlign w:val="center"/>
          </w:tcPr>
          <w:p w:rsidR="00E503CD" w:rsidRPr="006231B4" w:rsidRDefault="00E503CD" w:rsidP="00E503CD">
            <w:pPr>
              <w:spacing w:line="240" w:lineRule="exact"/>
              <w:rPr>
                <w:rFonts w:ascii="宋体" w:eastAsia="宋体" w:hAnsi="宋体" w:cs="宋体"/>
                <w:sz w:val="18"/>
                <w:szCs w:val="18"/>
              </w:rPr>
            </w:pPr>
            <w:r w:rsidRPr="006231B4">
              <w:rPr>
                <w:rFonts w:ascii="宋体" w:eastAsia="宋体" w:hAnsi="宋体" w:cs="宋体" w:hint="eastAsia"/>
                <w:sz w:val="18"/>
                <w:szCs w:val="18"/>
              </w:rPr>
              <w:t>收入增长率</w:t>
            </w:r>
            <w:r w:rsidRPr="006231B4">
              <w:rPr>
                <w:rFonts w:ascii="宋体" w:eastAsia="宋体" w:hAnsi="宋体" w:cs="宋体"/>
                <w:sz w:val="18"/>
                <w:szCs w:val="18"/>
              </w:rPr>
              <w:t>4.66%-6%；</w:t>
            </w:r>
          </w:p>
          <w:p w:rsidR="00E503CD" w:rsidRPr="006231B4" w:rsidRDefault="00E503CD" w:rsidP="00E503CD">
            <w:pPr>
              <w:spacing w:line="240" w:lineRule="exact"/>
              <w:rPr>
                <w:rFonts w:ascii="宋体" w:eastAsia="宋体" w:hAnsi="宋体" w:cs="宋体"/>
                <w:sz w:val="18"/>
                <w:szCs w:val="18"/>
              </w:rPr>
            </w:pPr>
            <w:r w:rsidRPr="006231B4">
              <w:rPr>
                <w:rFonts w:ascii="宋体" w:eastAsia="宋体" w:hAnsi="宋体" w:cs="宋体" w:hint="eastAsia"/>
                <w:sz w:val="18"/>
                <w:szCs w:val="18"/>
              </w:rPr>
              <w:t>利润率</w:t>
            </w:r>
            <w:r w:rsidRPr="006231B4">
              <w:rPr>
                <w:rFonts w:ascii="宋体" w:eastAsia="宋体" w:hAnsi="宋体" w:cs="宋体"/>
                <w:sz w:val="18"/>
                <w:szCs w:val="18"/>
              </w:rPr>
              <w:t>23.56%-32.38%；</w:t>
            </w:r>
          </w:p>
          <w:p w:rsidR="00E503CD" w:rsidRDefault="00E503CD" w:rsidP="00E503CD">
            <w:pPr>
              <w:spacing w:line="240" w:lineRule="exact"/>
              <w:rPr>
                <w:rFonts w:ascii="宋体" w:eastAsia="宋体" w:hAnsi="宋体" w:cs="宋体"/>
                <w:sz w:val="18"/>
                <w:szCs w:val="18"/>
              </w:rPr>
            </w:pPr>
            <w:r w:rsidRPr="006231B4">
              <w:rPr>
                <w:rFonts w:ascii="宋体" w:eastAsia="宋体" w:hAnsi="宋体" w:cs="宋体" w:hint="eastAsia"/>
                <w:sz w:val="18"/>
                <w:szCs w:val="18"/>
              </w:rPr>
              <w:t>折现率</w:t>
            </w:r>
            <w:r>
              <w:rPr>
                <w:rFonts w:ascii="宋体" w:eastAsia="宋体" w:hAnsi="宋体" w:cs="宋体"/>
                <w:sz w:val="18"/>
                <w:szCs w:val="18"/>
              </w:rPr>
              <w:t>13.16</w:t>
            </w:r>
            <w:r w:rsidRPr="006231B4">
              <w:rPr>
                <w:rFonts w:ascii="宋体" w:eastAsia="宋体" w:hAnsi="宋体" w:cs="宋体"/>
                <w:sz w:val="18"/>
                <w:szCs w:val="18"/>
              </w:rPr>
              <w:t>%</w:t>
            </w:r>
          </w:p>
        </w:tc>
        <w:tc>
          <w:tcPr>
            <w:tcW w:w="1205"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rPr>
                <w:rFonts w:ascii="宋体" w:eastAsia="宋体" w:hAnsi="宋体" w:cs="宋体"/>
                <w:sz w:val="18"/>
                <w:szCs w:val="18"/>
              </w:rPr>
            </w:pPr>
            <w:r w:rsidRPr="006231B4">
              <w:rPr>
                <w:rFonts w:ascii="宋体" w:eastAsia="宋体" w:hAnsi="宋体" w:cs="宋体" w:hint="eastAsia"/>
                <w:sz w:val="18"/>
                <w:szCs w:val="18"/>
              </w:rPr>
              <w:t>收入增长率</w:t>
            </w:r>
            <w:r w:rsidRPr="006231B4">
              <w:rPr>
                <w:rFonts w:ascii="宋体" w:eastAsia="宋体" w:hAnsi="宋体" w:cs="宋体"/>
                <w:sz w:val="18"/>
                <w:szCs w:val="18"/>
              </w:rPr>
              <w:t xml:space="preserve">:0%，利润率: 32.38%，折现率: </w:t>
            </w:r>
            <w:r>
              <w:rPr>
                <w:rFonts w:ascii="宋体" w:eastAsia="宋体" w:hAnsi="宋体" w:cs="宋体"/>
                <w:sz w:val="18"/>
                <w:szCs w:val="18"/>
              </w:rPr>
              <w:t>13.16</w:t>
            </w:r>
            <w:r w:rsidRPr="006231B4">
              <w:rPr>
                <w:rFonts w:ascii="宋体" w:eastAsia="宋体" w:hAnsi="宋体" w:cs="宋体"/>
                <w:sz w:val="18"/>
                <w:szCs w:val="18"/>
              </w:rPr>
              <w:t>%</w:t>
            </w:r>
          </w:p>
        </w:tc>
        <w:tc>
          <w:tcPr>
            <w:tcW w:w="1205"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rPr>
                <w:rFonts w:ascii="宋体" w:eastAsia="宋体" w:hAnsi="宋体" w:cs="宋体"/>
                <w:sz w:val="18"/>
                <w:szCs w:val="18"/>
              </w:rPr>
            </w:pPr>
            <w:r>
              <w:rPr>
                <w:rFonts w:ascii="宋体" w:eastAsia="宋体" w:hAnsi="宋体" w:cs="宋体"/>
                <w:sz w:val="18"/>
                <w:szCs w:val="18"/>
              </w:rPr>
              <w:t>稳定期收入增长率为0%，利润率、折现率与预测期最后一年一致</w:t>
            </w:r>
          </w:p>
        </w:tc>
      </w:tr>
      <w:tr w:rsidR="00E503CD" w:rsidTr="00953733">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rPr>
                <w:rFonts w:ascii="宋体" w:eastAsia="宋体" w:hAnsi="宋体" w:cs="宋体"/>
                <w:sz w:val="18"/>
                <w:szCs w:val="18"/>
              </w:rPr>
            </w:pPr>
            <w:r>
              <w:rPr>
                <w:rFonts w:ascii="宋体" w:eastAsia="宋体" w:hAnsi="宋体" w:cs="宋体"/>
                <w:sz w:val="18"/>
                <w:szCs w:val="18"/>
              </w:rPr>
              <w:t>沈阳非晶</w:t>
            </w:r>
          </w:p>
        </w:tc>
        <w:tc>
          <w:tcPr>
            <w:tcW w:w="1205"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jc w:val="right"/>
              <w:rPr>
                <w:rFonts w:ascii="宋体" w:eastAsia="宋体" w:hAnsi="宋体" w:cs="宋体"/>
                <w:sz w:val="18"/>
                <w:szCs w:val="18"/>
              </w:rPr>
            </w:pPr>
            <w:r>
              <w:rPr>
                <w:rFonts w:ascii="宋体" w:eastAsia="宋体" w:hAnsi="宋体" w:cs="宋体"/>
                <w:sz w:val="18"/>
                <w:szCs w:val="18"/>
              </w:rPr>
              <w:t>133,789,179.48</w:t>
            </w:r>
          </w:p>
        </w:tc>
        <w:tc>
          <w:tcPr>
            <w:tcW w:w="1205"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jc w:val="right"/>
              <w:rPr>
                <w:rFonts w:ascii="宋体" w:eastAsia="宋体" w:hAnsi="宋体" w:cs="宋体"/>
                <w:sz w:val="18"/>
                <w:szCs w:val="18"/>
              </w:rPr>
            </w:pPr>
            <w:r w:rsidRPr="006231B4">
              <w:rPr>
                <w:rFonts w:ascii="宋体" w:eastAsia="宋体" w:hAnsi="宋体" w:cs="宋体"/>
                <w:sz w:val="18"/>
                <w:szCs w:val="18"/>
              </w:rPr>
              <w:t>135,335,439.10</w:t>
            </w:r>
          </w:p>
        </w:tc>
        <w:tc>
          <w:tcPr>
            <w:tcW w:w="1205"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rPr>
                <w:rFonts w:ascii="宋体" w:eastAsia="宋体" w:hAnsi="宋体" w:cs="宋体"/>
                <w:sz w:val="18"/>
                <w:szCs w:val="18"/>
              </w:rPr>
            </w:pPr>
            <w:r>
              <w:rPr>
                <w:rFonts w:ascii="宋体" w:eastAsia="宋体" w:hAnsi="宋体" w:cs="宋体"/>
                <w:sz w:val="18"/>
                <w:szCs w:val="18"/>
              </w:rPr>
              <w:t>5年</w:t>
            </w:r>
          </w:p>
        </w:tc>
        <w:tc>
          <w:tcPr>
            <w:tcW w:w="1205" w:type="dxa"/>
            <w:tcBorders>
              <w:top w:val="single" w:sz="2" w:space="0" w:color="auto"/>
              <w:left w:val="single" w:sz="2" w:space="0" w:color="auto"/>
              <w:bottom w:val="single" w:sz="2" w:space="0" w:color="auto"/>
              <w:right w:val="single" w:sz="2" w:space="0" w:color="auto"/>
            </w:tcBorders>
            <w:vAlign w:val="center"/>
          </w:tcPr>
          <w:p w:rsidR="00E503CD" w:rsidRPr="006231B4" w:rsidRDefault="00E503CD" w:rsidP="00E503CD">
            <w:pPr>
              <w:spacing w:line="240" w:lineRule="exact"/>
              <w:rPr>
                <w:rFonts w:ascii="宋体" w:eastAsia="宋体" w:hAnsi="宋体" w:cs="宋体"/>
                <w:sz w:val="18"/>
                <w:szCs w:val="18"/>
              </w:rPr>
            </w:pPr>
            <w:r w:rsidRPr="006231B4">
              <w:rPr>
                <w:rFonts w:ascii="宋体" w:eastAsia="宋体" w:hAnsi="宋体" w:cs="宋体" w:hint="eastAsia"/>
                <w:sz w:val="18"/>
                <w:szCs w:val="18"/>
              </w:rPr>
              <w:t>收入增长率</w:t>
            </w:r>
            <w:r w:rsidRPr="006231B4">
              <w:rPr>
                <w:rFonts w:ascii="宋体" w:eastAsia="宋体" w:hAnsi="宋体" w:cs="宋体"/>
                <w:sz w:val="18"/>
                <w:szCs w:val="18"/>
              </w:rPr>
              <w:t>20.49%-127.61%；</w:t>
            </w:r>
          </w:p>
          <w:p w:rsidR="00E503CD" w:rsidRPr="006231B4" w:rsidRDefault="00E503CD" w:rsidP="00E503CD">
            <w:pPr>
              <w:spacing w:line="240" w:lineRule="exact"/>
              <w:rPr>
                <w:rFonts w:ascii="宋体" w:eastAsia="宋体" w:hAnsi="宋体" w:cs="宋体"/>
                <w:sz w:val="18"/>
                <w:szCs w:val="18"/>
              </w:rPr>
            </w:pPr>
            <w:r w:rsidRPr="006231B4">
              <w:rPr>
                <w:rFonts w:ascii="宋体" w:eastAsia="宋体" w:hAnsi="宋体" w:cs="宋体" w:hint="eastAsia"/>
                <w:sz w:val="18"/>
                <w:szCs w:val="18"/>
              </w:rPr>
              <w:t>利润率</w:t>
            </w:r>
          </w:p>
          <w:p w:rsidR="00E503CD" w:rsidRPr="006231B4" w:rsidRDefault="00E503CD" w:rsidP="00E503CD">
            <w:pPr>
              <w:spacing w:line="240" w:lineRule="exact"/>
              <w:rPr>
                <w:rFonts w:ascii="宋体" w:eastAsia="宋体" w:hAnsi="宋体" w:cs="宋体"/>
                <w:sz w:val="18"/>
                <w:szCs w:val="18"/>
              </w:rPr>
            </w:pPr>
            <w:r w:rsidRPr="006231B4">
              <w:rPr>
                <w:rFonts w:ascii="宋体" w:eastAsia="宋体" w:hAnsi="宋体" w:cs="宋体"/>
                <w:sz w:val="18"/>
                <w:szCs w:val="18"/>
              </w:rPr>
              <w:t>-35.90%-18.82%；</w:t>
            </w:r>
          </w:p>
          <w:p w:rsidR="00E503CD" w:rsidRDefault="00E503CD" w:rsidP="00E503CD">
            <w:pPr>
              <w:spacing w:line="240" w:lineRule="exact"/>
              <w:rPr>
                <w:rFonts w:ascii="宋体" w:eastAsia="宋体" w:hAnsi="宋体" w:cs="宋体"/>
                <w:sz w:val="18"/>
                <w:szCs w:val="18"/>
              </w:rPr>
            </w:pPr>
            <w:r w:rsidRPr="006231B4">
              <w:rPr>
                <w:rFonts w:ascii="宋体" w:eastAsia="宋体" w:hAnsi="宋体" w:cs="宋体" w:hint="eastAsia"/>
                <w:sz w:val="18"/>
                <w:szCs w:val="18"/>
              </w:rPr>
              <w:t>折现率</w:t>
            </w:r>
            <w:r>
              <w:rPr>
                <w:rFonts w:ascii="宋体" w:eastAsia="宋体" w:hAnsi="宋体" w:cs="宋体"/>
                <w:sz w:val="18"/>
                <w:szCs w:val="18"/>
              </w:rPr>
              <w:t>12.76</w:t>
            </w:r>
            <w:r w:rsidRPr="006231B4">
              <w:rPr>
                <w:rFonts w:ascii="宋体" w:eastAsia="宋体" w:hAnsi="宋体" w:cs="宋体"/>
                <w:sz w:val="18"/>
                <w:szCs w:val="18"/>
              </w:rPr>
              <w:t>%</w:t>
            </w:r>
          </w:p>
        </w:tc>
        <w:tc>
          <w:tcPr>
            <w:tcW w:w="1205"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rPr>
                <w:rFonts w:ascii="宋体" w:eastAsia="宋体" w:hAnsi="宋体" w:cs="宋体"/>
                <w:sz w:val="18"/>
                <w:szCs w:val="18"/>
              </w:rPr>
            </w:pPr>
            <w:r w:rsidRPr="006231B4">
              <w:rPr>
                <w:rFonts w:ascii="宋体" w:eastAsia="宋体" w:hAnsi="宋体" w:cs="宋体" w:hint="eastAsia"/>
                <w:sz w:val="18"/>
                <w:szCs w:val="18"/>
              </w:rPr>
              <w:t>收入增长率</w:t>
            </w:r>
            <w:r w:rsidRPr="006231B4">
              <w:rPr>
                <w:rFonts w:ascii="宋体" w:eastAsia="宋体" w:hAnsi="宋体" w:cs="宋体"/>
                <w:sz w:val="18"/>
                <w:szCs w:val="18"/>
              </w:rPr>
              <w:t>:0%，利润率 :18.70%，折现率:</w:t>
            </w:r>
            <w:r>
              <w:rPr>
                <w:rFonts w:ascii="宋体" w:eastAsia="宋体" w:hAnsi="宋体" w:cs="宋体"/>
                <w:sz w:val="18"/>
                <w:szCs w:val="18"/>
              </w:rPr>
              <w:t>12.76</w:t>
            </w:r>
            <w:r w:rsidRPr="006231B4">
              <w:rPr>
                <w:rFonts w:ascii="宋体" w:eastAsia="宋体" w:hAnsi="宋体" w:cs="宋体"/>
                <w:sz w:val="18"/>
                <w:szCs w:val="18"/>
              </w:rPr>
              <w:t>%</w:t>
            </w:r>
          </w:p>
        </w:tc>
        <w:tc>
          <w:tcPr>
            <w:tcW w:w="1205" w:type="dxa"/>
            <w:tcBorders>
              <w:top w:val="single" w:sz="2" w:space="0" w:color="auto"/>
              <w:left w:val="single" w:sz="2" w:space="0" w:color="auto"/>
              <w:bottom w:val="single" w:sz="2" w:space="0" w:color="auto"/>
              <w:right w:val="single" w:sz="2" w:space="0" w:color="auto"/>
            </w:tcBorders>
            <w:vAlign w:val="center"/>
          </w:tcPr>
          <w:p w:rsidR="00E503CD" w:rsidRDefault="00E503CD" w:rsidP="00E503CD">
            <w:pPr>
              <w:spacing w:line="240" w:lineRule="exact"/>
              <w:rPr>
                <w:rFonts w:ascii="宋体" w:eastAsia="宋体" w:hAnsi="宋体" w:cs="宋体"/>
                <w:sz w:val="18"/>
                <w:szCs w:val="18"/>
              </w:rPr>
            </w:pPr>
            <w:r>
              <w:rPr>
                <w:rFonts w:ascii="宋体" w:eastAsia="宋体" w:hAnsi="宋体" w:cs="宋体"/>
                <w:sz w:val="18"/>
                <w:szCs w:val="18"/>
              </w:rPr>
              <w:t>稳定期收入增长率为0%，利润率、折现率与预测期最后一年一致</w:t>
            </w:r>
          </w:p>
        </w:tc>
      </w:tr>
      <w:tr w:rsidR="00953733" w:rsidTr="00953733">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953733" w:rsidRDefault="00953733" w:rsidP="00953733">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205"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sz w:val="18"/>
                <w:szCs w:val="18"/>
              </w:rPr>
              <w:t>577,601,380.45</w:t>
            </w:r>
          </w:p>
        </w:tc>
        <w:tc>
          <w:tcPr>
            <w:tcW w:w="1205"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sidRPr="006231B4">
              <w:rPr>
                <w:rFonts w:ascii="宋体" w:eastAsia="宋体" w:hAnsi="宋体" w:cs="宋体"/>
                <w:sz w:val="18"/>
                <w:szCs w:val="18"/>
              </w:rPr>
              <w:t>588,124,371.73</w:t>
            </w:r>
          </w:p>
        </w:tc>
        <w:tc>
          <w:tcPr>
            <w:tcW w:w="1205"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953733" w:rsidRDefault="00953733" w:rsidP="00953733"/>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953733" w:rsidRDefault="00953733" w:rsidP="00953733"/>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953733" w:rsidRDefault="00953733" w:rsidP="00953733"/>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953733" w:rsidRDefault="00953733" w:rsidP="00953733"/>
        </w:tc>
      </w:tr>
    </w:tbl>
    <w:p w:rsidR="00A27D66" w:rsidRDefault="00A2119D" w:rsidP="00684415">
      <w:pPr>
        <w:spacing w:before="40" w:after="4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p>
    <w:p w:rsidR="00A2119D" w:rsidRPr="00684415" w:rsidRDefault="00A2119D" w:rsidP="00684415">
      <w:pPr>
        <w:spacing w:before="40" w:after="40" w:line="240" w:lineRule="exact"/>
        <w:divId w:val="1959798533"/>
        <w:rPr>
          <w:rFonts w:ascii="宋体" w:eastAsia="宋体" w:hAnsi="宋体" w:cs="宋体"/>
          <w:sz w:val="18"/>
          <w:szCs w:val="18"/>
        </w:rPr>
      </w:pPr>
      <w:r w:rsidRPr="00684415">
        <w:rPr>
          <w:rFonts w:ascii="宋体" w:eastAsia="宋体" w:hAnsi="宋体" w:cs="宋体" w:hint="eastAsia"/>
          <w:sz w:val="18"/>
          <w:szCs w:val="18"/>
        </w:rPr>
        <w:t>不适用</w:t>
      </w:r>
    </w:p>
    <w:p w:rsidR="00A27D66" w:rsidRDefault="00A2119D" w:rsidP="00684415">
      <w:pPr>
        <w:spacing w:before="40" w:after="40" w:line="240" w:lineRule="exact"/>
        <w:rPr>
          <w:rFonts w:ascii="宋体" w:eastAsia="宋体" w:hAnsi="宋体" w:cs="宋体"/>
          <w:sz w:val="18"/>
          <w:szCs w:val="18"/>
        </w:rPr>
      </w:pPr>
      <w:r>
        <w:rPr>
          <w:rFonts w:ascii="宋体" w:eastAsia="宋体" w:hAnsi="宋体" w:cs="宋体"/>
          <w:sz w:val="18"/>
          <w:szCs w:val="18"/>
        </w:rPr>
        <w:t>公司以前年度减值测试采用信息与当年实际情况明显不一致的差异原因</w:t>
      </w:r>
    </w:p>
    <w:p w:rsidR="00A2119D" w:rsidRPr="00684415" w:rsidRDefault="00A2119D" w:rsidP="00684415">
      <w:pPr>
        <w:spacing w:before="40" w:after="40" w:line="240" w:lineRule="exact"/>
        <w:divId w:val="1865093934"/>
        <w:rPr>
          <w:rFonts w:ascii="宋体" w:eastAsia="宋体" w:hAnsi="宋体" w:cs="宋体"/>
          <w:sz w:val="18"/>
          <w:szCs w:val="18"/>
        </w:rPr>
      </w:pPr>
      <w:r w:rsidRPr="00684415">
        <w:rPr>
          <w:rFonts w:ascii="宋体" w:eastAsia="宋体" w:hAnsi="宋体" w:cs="宋体" w:hint="eastAsia"/>
          <w:sz w:val="18"/>
          <w:szCs w:val="18"/>
        </w:rPr>
        <w:t>不适用</w:t>
      </w:r>
    </w:p>
    <w:p w:rsidR="00A27D66" w:rsidRDefault="00A2119D">
      <w:pPr>
        <w:keepNext/>
        <w:keepLines/>
        <w:spacing w:before="300" w:after="300" w:line="280" w:lineRule="exact"/>
        <w:outlineLvl w:val="3"/>
        <w:rPr>
          <w:rFonts w:ascii="宋体" w:eastAsia="宋体" w:hAnsi="宋体" w:cs="宋体"/>
          <w:b/>
          <w:bCs/>
          <w:szCs w:val="21"/>
        </w:rPr>
      </w:pPr>
      <w:bookmarkStart w:id="283" w:name="_Toc989168"/>
      <w:r>
        <w:rPr>
          <w:rFonts w:ascii="宋体" w:eastAsia="宋体" w:hAnsi="宋体" w:cs="宋体"/>
          <w:b/>
          <w:bCs/>
          <w:szCs w:val="21"/>
        </w:rPr>
        <w:t>（5） 业绩承诺完成及对应商誉减值情况</w:t>
      </w:r>
      <w:bookmarkEnd w:id="283"/>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形成商誉时存在业绩承诺</w:t>
      </w:r>
      <w:proofErr w:type="gramStart"/>
      <w:r>
        <w:rPr>
          <w:rFonts w:ascii="宋体" w:eastAsia="宋体" w:hAnsi="宋体" w:cs="宋体"/>
          <w:sz w:val="18"/>
          <w:szCs w:val="18"/>
        </w:rPr>
        <w:t>且报告</w:t>
      </w:r>
      <w:proofErr w:type="gramEnd"/>
      <w:r>
        <w:rPr>
          <w:rFonts w:ascii="宋体" w:eastAsia="宋体" w:hAnsi="宋体" w:cs="宋体"/>
          <w:sz w:val="18"/>
          <w:szCs w:val="18"/>
        </w:rPr>
        <w:t>期或报告期上一期间处于业绩承诺期内</w:t>
      </w:r>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A27D66">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业绩承诺完成情况</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商誉减值金额</w:t>
            </w:r>
          </w:p>
        </w:tc>
      </w:tr>
      <w:tr w:rsidR="00A27D66">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w:t>
            </w:r>
          </w:p>
        </w:tc>
      </w:tr>
      <w:tr w:rsidR="00A27D66">
        <w:trPr>
          <w:trHeight w:val="240"/>
        </w:trPr>
        <w:tc>
          <w:tcPr>
            <w:tcW w:w="1071" w:type="dxa"/>
            <w:vMerge/>
            <w:tcBorders>
              <w:top w:val="single" w:sz="2" w:space="0" w:color="auto"/>
              <w:left w:val="single" w:sz="2" w:space="0" w:color="auto"/>
              <w:bottom w:val="single" w:sz="2" w:space="0" w:color="auto"/>
              <w:right w:val="single" w:sz="2" w:space="0" w:color="auto"/>
            </w:tcBorders>
            <w:vAlign w:val="center"/>
          </w:tcPr>
          <w:p w:rsidR="00A27D66" w:rsidRDefault="00A27D66"/>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承诺业绩</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实际业绩</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完成率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承诺业绩</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实际业绩</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完成率</w:t>
            </w:r>
          </w:p>
        </w:tc>
        <w:tc>
          <w:tcPr>
            <w:tcW w:w="1071" w:type="dxa"/>
            <w:vMerge/>
            <w:tcBorders>
              <w:top w:val="single" w:sz="2" w:space="0" w:color="auto"/>
              <w:left w:val="single" w:sz="2" w:space="0" w:color="auto"/>
              <w:bottom w:val="single" w:sz="2" w:space="0" w:color="auto"/>
              <w:right w:val="single" w:sz="2" w:space="0" w:color="auto"/>
            </w:tcBorders>
            <w:vAlign w:val="center"/>
          </w:tcPr>
          <w:p w:rsidR="00A27D66" w:rsidRDefault="00A27D66"/>
        </w:tc>
        <w:tc>
          <w:tcPr>
            <w:tcW w:w="1071" w:type="dxa"/>
            <w:vMerge/>
            <w:tcBorders>
              <w:top w:val="single" w:sz="2" w:space="0" w:color="auto"/>
              <w:left w:val="single" w:sz="2" w:space="0" w:color="auto"/>
              <w:bottom w:val="single" w:sz="2" w:space="0" w:color="auto"/>
              <w:right w:val="single" w:sz="2" w:space="0" w:color="auto"/>
            </w:tcBorders>
            <w:vAlign w:val="center"/>
          </w:tcPr>
          <w:p w:rsidR="00A27D66" w:rsidRDefault="00A27D66"/>
        </w:tc>
      </w:tr>
      <w:tr w:rsidR="00A27D66">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沈阳非晶</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A2119D" w:rsidRDefault="00A2119D" w:rsidP="00684415">
      <w:pPr>
        <w:pStyle w:val="a3"/>
        <w:spacing w:before="0" w:beforeAutospacing="0" w:after="0" w:afterAutospacing="0" w:line="360" w:lineRule="auto"/>
        <w:ind w:firstLine="420"/>
        <w:jc w:val="both"/>
        <w:divId w:val="1758939152"/>
        <w:rPr>
          <w:rFonts w:cs="Times New Roman"/>
          <w:color w:val="000000"/>
          <w:sz w:val="21"/>
          <w:szCs w:val="21"/>
        </w:rPr>
      </w:pPr>
      <w:r w:rsidRPr="00684415">
        <w:rPr>
          <w:rFonts w:cs="Times New Roman"/>
          <w:color w:val="000000"/>
          <w:sz w:val="21"/>
          <w:szCs w:val="21"/>
        </w:rPr>
        <w:t>2022</w:t>
      </w:r>
      <w:r w:rsidRPr="00684415">
        <w:rPr>
          <w:rFonts w:cs="Times New Roman" w:hint="eastAsia"/>
          <w:color w:val="000000"/>
          <w:sz w:val="21"/>
          <w:szCs w:val="21"/>
        </w:rPr>
        <w:t>年</w:t>
      </w:r>
      <w:r w:rsidRPr="00684415">
        <w:rPr>
          <w:rFonts w:cs="Times New Roman"/>
          <w:color w:val="000000"/>
          <w:sz w:val="21"/>
          <w:szCs w:val="21"/>
        </w:rPr>
        <w:t>7</w:t>
      </w:r>
      <w:r w:rsidRPr="00684415">
        <w:rPr>
          <w:rFonts w:cs="Times New Roman" w:hint="eastAsia"/>
          <w:color w:val="000000"/>
          <w:sz w:val="21"/>
          <w:szCs w:val="21"/>
        </w:rPr>
        <w:t>月，甘化科工与郝宏伟关于福建将乐卓越金属材料有限公司之股权转让协议中约定，沈阳非</w:t>
      </w:r>
      <w:proofErr w:type="gramStart"/>
      <w:r w:rsidRPr="00684415">
        <w:rPr>
          <w:rFonts w:cs="Times New Roman" w:hint="eastAsia"/>
          <w:color w:val="000000"/>
          <w:sz w:val="21"/>
          <w:szCs w:val="21"/>
        </w:rPr>
        <w:t>晶前实际</w:t>
      </w:r>
      <w:proofErr w:type="gramEnd"/>
      <w:r w:rsidRPr="00684415">
        <w:rPr>
          <w:rFonts w:cs="Times New Roman" w:hint="eastAsia"/>
          <w:color w:val="000000"/>
          <w:sz w:val="21"/>
          <w:szCs w:val="21"/>
        </w:rPr>
        <w:t>控制人郝宏伟承诺，</w:t>
      </w:r>
      <w:r w:rsidRPr="00684415">
        <w:rPr>
          <w:rFonts w:cs="Times New Roman"/>
          <w:color w:val="000000"/>
          <w:sz w:val="21"/>
          <w:szCs w:val="21"/>
        </w:rPr>
        <w:t>2022</w:t>
      </w:r>
      <w:r w:rsidRPr="00684415">
        <w:rPr>
          <w:rFonts w:cs="Times New Roman" w:hint="eastAsia"/>
          <w:color w:val="000000"/>
          <w:sz w:val="21"/>
          <w:szCs w:val="21"/>
        </w:rPr>
        <w:t>年</w:t>
      </w:r>
      <w:r w:rsidRPr="00684415">
        <w:rPr>
          <w:rFonts w:cs="Times New Roman"/>
          <w:color w:val="000000"/>
          <w:sz w:val="21"/>
          <w:szCs w:val="21"/>
        </w:rPr>
        <w:t>7</w:t>
      </w:r>
      <w:r w:rsidRPr="00684415">
        <w:rPr>
          <w:rFonts w:cs="Times New Roman" w:hint="eastAsia"/>
          <w:color w:val="000000"/>
          <w:sz w:val="21"/>
          <w:szCs w:val="21"/>
        </w:rPr>
        <w:t>月</w:t>
      </w:r>
      <w:r w:rsidRPr="00684415">
        <w:rPr>
          <w:rFonts w:cs="Times New Roman"/>
          <w:color w:val="000000"/>
          <w:sz w:val="21"/>
          <w:szCs w:val="21"/>
        </w:rPr>
        <w:t>1</w:t>
      </w:r>
      <w:r w:rsidRPr="00684415">
        <w:rPr>
          <w:rFonts w:cs="Times New Roman" w:hint="eastAsia"/>
          <w:color w:val="000000"/>
          <w:sz w:val="21"/>
          <w:szCs w:val="21"/>
        </w:rPr>
        <w:t>日至</w:t>
      </w:r>
      <w:r w:rsidRPr="00684415">
        <w:rPr>
          <w:rFonts w:cs="Times New Roman"/>
          <w:color w:val="000000"/>
          <w:sz w:val="21"/>
          <w:szCs w:val="21"/>
        </w:rPr>
        <w:t>2025</w:t>
      </w:r>
      <w:r w:rsidRPr="00684415">
        <w:rPr>
          <w:rFonts w:cs="Times New Roman" w:hint="eastAsia"/>
          <w:color w:val="000000"/>
          <w:sz w:val="21"/>
          <w:szCs w:val="21"/>
        </w:rPr>
        <w:t>年</w:t>
      </w:r>
      <w:r w:rsidRPr="00684415">
        <w:rPr>
          <w:rFonts w:cs="Times New Roman"/>
          <w:color w:val="000000"/>
          <w:sz w:val="21"/>
          <w:szCs w:val="21"/>
        </w:rPr>
        <w:t>6</w:t>
      </w:r>
      <w:r w:rsidRPr="00684415">
        <w:rPr>
          <w:rFonts w:cs="Times New Roman" w:hint="eastAsia"/>
          <w:color w:val="000000"/>
          <w:sz w:val="21"/>
          <w:szCs w:val="21"/>
        </w:rPr>
        <w:t>月</w:t>
      </w:r>
      <w:r w:rsidR="00F506EF">
        <w:rPr>
          <w:rFonts w:cs="Times New Roman" w:hint="eastAsia"/>
          <w:color w:val="000000"/>
          <w:sz w:val="21"/>
          <w:szCs w:val="21"/>
        </w:rPr>
        <w:t>3</w:t>
      </w:r>
      <w:r w:rsidR="00F506EF">
        <w:rPr>
          <w:rFonts w:cs="Times New Roman"/>
          <w:color w:val="000000"/>
          <w:sz w:val="21"/>
          <w:szCs w:val="21"/>
        </w:rPr>
        <w:t>0</w:t>
      </w:r>
      <w:r w:rsidR="00F506EF">
        <w:rPr>
          <w:rFonts w:cs="Times New Roman" w:hint="eastAsia"/>
          <w:color w:val="000000"/>
          <w:sz w:val="21"/>
          <w:szCs w:val="21"/>
        </w:rPr>
        <w:t>日</w:t>
      </w:r>
      <w:r w:rsidRPr="00684415">
        <w:rPr>
          <w:rFonts w:cs="Times New Roman" w:hint="eastAsia"/>
          <w:color w:val="000000"/>
          <w:sz w:val="21"/>
          <w:szCs w:val="21"/>
        </w:rPr>
        <w:t>为利润保障期，在利润保障期内，沈阳</w:t>
      </w:r>
      <w:proofErr w:type="gramStart"/>
      <w:r w:rsidRPr="00684415">
        <w:rPr>
          <w:rFonts w:cs="Times New Roman" w:hint="eastAsia"/>
          <w:color w:val="000000"/>
          <w:sz w:val="21"/>
          <w:szCs w:val="21"/>
        </w:rPr>
        <w:t>非晶经审定</w:t>
      </w:r>
      <w:proofErr w:type="gramEnd"/>
      <w:r w:rsidRPr="00684415">
        <w:rPr>
          <w:rFonts w:cs="Times New Roman" w:hint="eastAsia"/>
          <w:color w:val="000000"/>
          <w:sz w:val="21"/>
          <w:szCs w:val="21"/>
        </w:rPr>
        <w:t>的三年合计</w:t>
      </w:r>
      <w:proofErr w:type="gramStart"/>
      <w:r w:rsidRPr="00684415">
        <w:rPr>
          <w:rFonts w:cs="Times New Roman" w:hint="eastAsia"/>
          <w:color w:val="000000"/>
          <w:sz w:val="21"/>
          <w:szCs w:val="21"/>
        </w:rPr>
        <w:t>税后保障期调整净</w:t>
      </w:r>
      <w:proofErr w:type="gramEnd"/>
      <w:r w:rsidRPr="00684415">
        <w:rPr>
          <w:rFonts w:cs="Times New Roman" w:hint="eastAsia"/>
          <w:color w:val="000000"/>
          <w:sz w:val="21"/>
          <w:szCs w:val="21"/>
        </w:rPr>
        <w:t>利润与研发费用之和不低于</w:t>
      </w:r>
      <w:r w:rsidRPr="00684415">
        <w:rPr>
          <w:rFonts w:cs="Times New Roman"/>
          <w:color w:val="000000"/>
          <w:sz w:val="21"/>
          <w:szCs w:val="21"/>
        </w:rPr>
        <w:t>5,100</w:t>
      </w:r>
      <w:r w:rsidRPr="00684415">
        <w:rPr>
          <w:rFonts w:cs="Times New Roman" w:hint="eastAsia"/>
          <w:color w:val="000000"/>
          <w:sz w:val="21"/>
          <w:szCs w:val="21"/>
        </w:rPr>
        <w:t>万元。</w:t>
      </w:r>
    </w:p>
    <w:p w:rsidR="0068001F" w:rsidRPr="0068001F" w:rsidRDefault="0068001F" w:rsidP="0068001F">
      <w:pPr>
        <w:pStyle w:val="a3"/>
        <w:spacing w:before="0" w:beforeAutospacing="0" w:after="0" w:afterAutospacing="0" w:line="360" w:lineRule="auto"/>
        <w:ind w:firstLine="420"/>
        <w:jc w:val="both"/>
        <w:divId w:val="1758939152"/>
        <w:rPr>
          <w:rFonts w:cs="Times New Roman"/>
          <w:color w:val="000000"/>
          <w:sz w:val="21"/>
          <w:szCs w:val="21"/>
        </w:rPr>
      </w:pPr>
      <w:r w:rsidRPr="0068001F">
        <w:rPr>
          <w:rFonts w:cs="Times New Roman" w:hint="eastAsia"/>
          <w:color w:val="000000"/>
          <w:sz w:val="21"/>
          <w:szCs w:val="21"/>
        </w:rPr>
        <w:t>截止</w:t>
      </w:r>
      <w:r w:rsidRPr="0068001F">
        <w:rPr>
          <w:rFonts w:cs="Times New Roman"/>
          <w:color w:val="000000"/>
          <w:sz w:val="21"/>
          <w:szCs w:val="21"/>
        </w:rPr>
        <w:t>2024年12月31日，受下游需求波动、新产品研发进度和产业科研项目延后的影响，沈阳非</w:t>
      </w:r>
      <w:proofErr w:type="gramStart"/>
      <w:r w:rsidRPr="0068001F">
        <w:rPr>
          <w:rFonts w:cs="Times New Roman"/>
          <w:color w:val="000000"/>
          <w:sz w:val="21"/>
          <w:szCs w:val="21"/>
        </w:rPr>
        <w:t>晶存在</w:t>
      </w:r>
      <w:proofErr w:type="gramEnd"/>
      <w:r w:rsidRPr="0068001F">
        <w:rPr>
          <w:rFonts w:cs="Times New Roman"/>
          <w:color w:val="000000"/>
          <w:sz w:val="21"/>
          <w:szCs w:val="21"/>
        </w:rPr>
        <w:t>业绩承诺无法完成的风险。公司密切关注沈阳非晶的产品订单、新产品研发进度和产业科研项目情况，对业绩承诺完成情况保持实时跟踪并对沈阳非晶的财务情况保持持续监督，保证其会计核算符合上市公司企业会计准则规范。</w:t>
      </w:r>
    </w:p>
    <w:p w:rsidR="00A27D66" w:rsidRDefault="00A2119D">
      <w:pPr>
        <w:pStyle w:val="3"/>
        <w:spacing w:line="280" w:lineRule="exact"/>
        <w:jc w:val="left"/>
        <w:rPr>
          <w:rFonts w:ascii="宋体" w:hAnsi="宋体" w:cs="宋体"/>
          <w:b/>
          <w:bCs/>
        </w:rPr>
      </w:pPr>
      <w:bookmarkStart w:id="284" w:name="_Toc989169"/>
      <w:r>
        <w:rPr>
          <w:rFonts w:ascii="宋体" w:hAnsi="宋体" w:cs="宋体"/>
          <w:b/>
          <w:bCs/>
        </w:rPr>
        <w:t>19、长期待摊费用</w:t>
      </w:r>
      <w:bookmarkEnd w:id="284"/>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A27D6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本期摊销金额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其他减少金额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装修费</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17,840,229.55</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60,589.54</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3,183,127.18</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14,717,691.91</w:t>
            </w:r>
          </w:p>
        </w:tc>
      </w:tr>
      <w:tr w:rsidR="00A27D66">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租赁费</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29,218.26</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29,218.26</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17,869,447.81</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60,589.54</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3,212,345.44</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14,717,691.91</w:t>
            </w:r>
          </w:p>
        </w:tc>
      </w:tr>
    </w:tbl>
    <w:p w:rsidR="00A27D66" w:rsidRDefault="00A2119D">
      <w:pPr>
        <w:pStyle w:val="3"/>
        <w:spacing w:line="280" w:lineRule="exact"/>
        <w:jc w:val="left"/>
        <w:rPr>
          <w:rFonts w:ascii="宋体" w:hAnsi="宋体" w:cs="宋体"/>
          <w:b/>
          <w:bCs/>
        </w:rPr>
      </w:pPr>
      <w:bookmarkStart w:id="285" w:name="_Toc989170"/>
      <w:r>
        <w:rPr>
          <w:rFonts w:ascii="宋体" w:hAnsi="宋体" w:cs="宋体"/>
          <w:b/>
          <w:bCs/>
        </w:rPr>
        <w:t>20、递延所得税资产/递延所得税负债</w:t>
      </w:r>
      <w:bookmarkEnd w:id="285"/>
    </w:p>
    <w:p w:rsidR="00A27D66" w:rsidRDefault="00A2119D">
      <w:pPr>
        <w:keepNext/>
        <w:keepLines/>
        <w:spacing w:before="300" w:after="300" w:line="280" w:lineRule="exact"/>
        <w:outlineLvl w:val="3"/>
        <w:rPr>
          <w:rFonts w:ascii="宋体" w:eastAsia="宋体" w:hAnsi="宋体" w:cs="宋体"/>
          <w:b/>
          <w:bCs/>
          <w:szCs w:val="21"/>
        </w:rPr>
      </w:pPr>
      <w:bookmarkStart w:id="286" w:name="_Toc989171"/>
      <w:r>
        <w:rPr>
          <w:rFonts w:ascii="宋体" w:eastAsia="宋体" w:hAnsi="宋体" w:cs="宋体"/>
          <w:b/>
          <w:bCs/>
          <w:szCs w:val="21"/>
        </w:rPr>
        <w:t>（1） 未经</w:t>
      </w:r>
      <w:proofErr w:type="gramStart"/>
      <w:r>
        <w:rPr>
          <w:rFonts w:ascii="宋体" w:eastAsia="宋体" w:hAnsi="宋体" w:cs="宋体"/>
          <w:b/>
          <w:bCs/>
          <w:szCs w:val="21"/>
        </w:rPr>
        <w:t>抵销</w:t>
      </w:r>
      <w:proofErr w:type="gramEnd"/>
      <w:r>
        <w:rPr>
          <w:rFonts w:ascii="宋体" w:eastAsia="宋体" w:hAnsi="宋体" w:cs="宋体"/>
          <w:b/>
          <w:bCs/>
          <w:szCs w:val="21"/>
        </w:rPr>
        <w:t>的递延所得税资产</w:t>
      </w:r>
      <w:bookmarkEnd w:id="286"/>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4,938,382.30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740,757.35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4,096,692.25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614,503.84</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61,538,499.96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14,525,394.21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73,890,956.65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15,879,249.68</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信用减值准备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33,025,304.05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5,660,876.61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22,565,990.47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4,100,329.16</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股权激励</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3,070,706.61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561,709.83</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租赁负债</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60,386,253.19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9,112,207.21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63,343,105.28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9,593,190.52</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递延收益</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2,161,214.01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108,060.70</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159,888,439.50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30,039,235.38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169,128,665.27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30,857,043.73</w:t>
            </w:r>
          </w:p>
        </w:tc>
      </w:tr>
    </w:tbl>
    <w:p w:rsidR="00A27D66" w:rsidRDefault="00A2119D">
      <w:pPr>
        <w:keepNext/>
        <w:keepLines/>
        <w:spacing w:before="300" w:after="300" w:line="280" w:lineRule="exact"/>
        <w:outlineLvl w:val="3"/>
        <w:rPr>
          <w:rFonts w:ascii="宋体" w:eastAsia="宋体" w:hAnsi="宋体" w:cs="宋体"/>
          <w:b/>
          <w:bCs/>
          <w:szCs w:val="21"/>
        </w:rPr>
      </w:pPr>
      <w:bookmarkStart w:id="287" w:name="_Toc989172"/>
      <w:r>
        <w:rPr>
          <w:rFonts w:ascii="宋体" w:eastAsia="宋体" w:hAnsi="宋体" w:cs="宋体"/>
          <w:b/>
          <w:bCs/>
          <w:szCs w:val="21"/>
        </w:rPr>
        <w:t>（2） 未经</w:t>
      </w:r>
      <w:proofErr w:type="gramStart"/>
      <w:r>
        <w:rPr>
          <w:rFonts w:ascii="宋体" w:eastAsia="宋体" w:hAnsi="宋体" w:cs="宋体"/>
          <w:b/>
          <w:bCs/>
          <w:szCs w:val="21"/>
        </w:rPr>
        <w:t>抵销</w:t>
      </w:r>
      <w:proofErr w:type="gramEnd"/>
      <w:r>
        <w:rPr>
          <w:rFonts w:ascii="宋体" w:eastAsia="宋体" w:hAnsi="宋体" w:cs="宋体"/>
          <w:b/>
          <w:bCs/>
          <w:szCs w:val="21"/>
        </w:rPr>
        <w:t>的递延所得税负债</w:t>
      </w:r>
      <w:bookmarkEnd w:id="287"/>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其他权益工具投资公允价值变动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42,378,606.62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10,594,651.65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37,770,311.20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9,442,577.80</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使用权资产</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52,650,856.43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7,953,237.68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56,710,050.73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8,618,946.67</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交易性金融资产公允价值变动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4,329,143.92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667,069.59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3,648,729.28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576,878.76</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固定资产加速折旧</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3,369,523.47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505,428.52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4,250,687.24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637,603.08</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102,728,130.44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19,720,387.44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102,379,778.45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19,276,006.31</w:t>
            </w:r>
          </w:p>
        </w:tc>
      </w:tr>
    </w:tbl>
    <w:p w:rsidR="00A27D66" w:rsidRDefault="00A2119D">
      <w:pPr>
        <w:keepNext/>
        <w:keepLines/>
        <w:spacing w:before="300" w:after="300" w:line="280" w:lineRule="exact"/>
        <w:outlineLvl w:val="3"/>
        <w:rPr>
          <w:rFonts w:ascii="宋体" w:eastAsia="宋体" w:hAnsi="宋体" w:cs="宋体"/>
          <w:b/>
          <w:bCs/>
          <w:szCs w:val="21"/>
        </w:rPr>
      </w:pPr>
      <w:bookmarkStart w:id="288" w:name="_Toc989173"/>
      <w:r>
        <w:rPr>
          <w:rFonts w:ascii="宋体" w:eastAsia="宋体" w:hAnsi="宋体" w:cs="宋体"/>
          <w:b/>
          <w:bCs/>
          <w:szCs w:val="21"/>
        </w:rPr>
        <w:t>（3） 以</w:t>
      </w:r>
      <w:proofErr w:type="gramStart"/>
      <w:r>
        <w:rPr>
          <w:rFonts w:ascii="宋体" w:eastAsia="宋体" w:hAnsi="宋体" w:cs="宋体"/>
          <w:b/>
          <w:bCs/>
          <w:szCs w:val="21"/>
        </w:rPr>
        <w:t>抵销</w:t>
      </w:r>
      <w:proofErr w:type="gramEnd"/>
      <w:r>
        <w:rPr>
          <w:rFonts w:ascii="宋体" w:eastAsia="宋体" w:hAnsi="宋体" w:cs="宋体"/>
          <w:b/>
          <w:bCs/>
          <w:szCs w:val="21"/>
        </w:rPr>
        <w:t>后净额列示的递延所得税资产或负债</w:t>
      </w:r>
      <w:bookmarkEnd w:id="288"/>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递延所得税资产和负债期末互</w:t>
            </w:r>
            <w:proofErr w:type="gramStart"/>
            <w:r>
              <w:rPr>
                <w:rFonts w:ascii="宋体" w:eastAsia="宋体" w:hAnsi="宋体" w:cs="宋体"/>
                <w:sz w:val="18"/>
                <w:szCs w:val="18"/>
              </w:rPr>
              <w:t>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w:t>
            </w:r>
            <w:proofErr w:type="gramStart"/>
            <w:r>
              <w:rPr>
                <w:rFonts w:ascii="宋体" w:eastAsia="宋体" w:hAnsi="宋体" w:cs="宋体"/>
                <w:sz w:val="18"/>
                <w:szCs w:val="18"/>
              </w:rPr>
              <w:t>初互抵金额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所得税资产或负债期初余额</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30,039,235.38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30,857,043.73</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19,720,387.44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19,276,006.31</w:t>
            </w:r>
          </w:p>
        </w:tc>
      </w:tr>
    </w:tbl>
    <w:p w:rsidR="00A27D66" w:rsidRDefault="00A2119D">
      <w:pPr>
        <w:keepNext/>
        <w:keepLines/>
        <w:spacing w:before="300" w:after="300" w:line="280" w:lineRule="exact"/>
        <w:outlineLvl w:val="3"/>
        <w:rPr>
          <w:rFonts w:ascii="宋体" w:eastAsia="宋体" w:hAnsi="宋体" w:cs="宋体"/>
          <w:b/>
          <w:bCs/>
          <w:szCs w:val="21"/>
        </w:rPr>
      </w:pPr>
      <w:bookmarkStart w:id="289" w:name="_Toc989174"/>
      <w:r>
        <w:rPr>
          <w:rFonts w:ascii="宋体" w:eastAsia="宋体" w:hAnsi="宋体" w:cs="宋体"/>
          <w:b/>
          <w:bCs/>
          <w:szCs w:val="21"/>
        </w:rPr>
        <w:t>（4） 未确认递延所得税资产明细</w:t>
      </w:r>
      <w:bookmarkEnd w:id="289"/>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65,402,397.84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66,522,139.57</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139,649,748.82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111,602,178.49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205,052,146.66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178,124,318.06</w:t>
            </w:r>
          </w:p>
        </w:tc>
      </w:tr>
    </w:tbl>
    <w:p w:rsidR="00A27D66" w:rsidRDefault="00A2119D">
      <w:pPr>
        <w:keepNext/>
        <w:keepLines/>
        <w:spacing w:before="300" w:after="300" w:line="280" w:lineRule="exact"/>
        <w:outlineLvl w:val="3"/>
        <w:rPr>
          <w:rFonts w:ascii="宋体" w:eastAsia="宋体" w:hAnsi="宋体" w:cs="宋体"/>
          <w:b/>
          <w:bCs/>
          <w:szCs w:val="21"/>
        </w:rPr>
      </w:pPr>
      <w:bookmarkStart w:id="290" w:name="_Toc989175"/>
      <w:r>
        <w:rPr>
          <w:rFonts w:ascii="宋体" w:eastAsia="宋体" w:hAnsi="宋体" w:cs="宋体"/>
          <w:b/>
          <w:bCs/>
          <w:szCs w:val="21"/>
        </w:rPr>
        <w:t>（5） 未确认递延所得税资产的可抵扣亏损将于以下年度到期</w:t>
      </w:r>
      <w:bookmarkEnd w:id="290"/>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年份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w:t>
            </w:r>
            <w:proofErr w:type="gramStart"/>
            <w:r>
              <w:rPr>
                <w:rFonts w:ascii="宋体" w:eastAsia="宋体" w:hAnsi="宋体" w:cs="宋体"/>
                <w:sz w:val="18"/>
                <w:szCs w:val="18"/>
              </w:rPr>
              <w:t>初金额</w:t>
            </w:r>
            <w:proofErr w:type="gramEnd"/>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备注</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2024年</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1,897,886.27</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2025年</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7,212,298.62</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5,830,590.96</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2026年</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8,661,035.30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6,249,703.73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2027年</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12,318,491.52</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8,644,599.78</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2028年</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10,427,592.63</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11,650,754.98</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2029年</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13,173,746.82</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7,928,565.62</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2030年</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6,550,482.65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6,550,482.65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2031年</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4,060,822.69</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4,060,822.69</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2032年</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28,654,245.35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28,654,245.35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2033年</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26,139,215.19</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30,134,526.46</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2034年</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18,254,377.61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135,452,308.38</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111,602,178.49</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pStyle w:val="3"/>
        <w:spacing w:line="280" w:lineRule="exact"/>
        <w:jc w:val="left"/>
        <w:rPr>
          <w:rFonts w:ascii="宋体" w:hAnsi="宋体" w:cs="宋体"/>
          <w:b/>
          <w:bCs/>
        </w:rPr>
      </w:pPr>
      <w:bookmarkStart w:id="291" w:name="_Toc989176"/>
      <w:r>
        <w:rPr>
          <w:rFonts w:ascii="宋体" w:hAnsi="宋体" w:cs="宋体"/>
          <w:b/>
          <w:bCs/>
        </w:rPr>
        <w:t>21、其他非流动资产</w:t>
      </w:r>
      <w:bookmarkEnd w:id="291"/>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A27D66">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预付长期资产</w:t>
            </w:r>
            <w:proofErr w:type="gramStart"/>
            <w:r>
              <w:rPr>
                <w:rFonts w:ascii="宋体" w:eastAsia="宋体" w:hAnsi="宋体" w:cs="宋体"/>
                <w:sz w:val="18"/>
                <w:szCs w:val="18"/>
              </w:rPr>
              <w:t>购置款</w:t>
            </w:r>
            <w:proofErr w:type="gramEnd"/>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2,077,279.20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2,077,279.20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5,452,300.00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5,452,300.00</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预付股权投资款</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11,111,100.00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11,111,100.00</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2,077,279.20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2,077,279.20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16,563,400.00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16,563,400.00</w:t>
            </w:r>
          </w:p>
        </w:tc>
      </w:tr>
    </w:tbl>
    <w:p w:rsidR="00A27D66" w:rsidRDefault="00A2119D">
      <w:pPr>
        <w:pStyle w:val="3"/>
        <w:spacing w:line="280" w:lineRule="exact"/>
        <w:jc w:val="left"/>
        <w:rPr>
          <w:rFonts w:ascii="宋体" w:hAnsi="宋体" w:cs="宋体"/>
          <w:b/>
          <w:bCs/>
        </w:rPr>
      </w:pPr>
      <w:bookmarkStart w:id="292" w:name="_Toc989177"/>
      <w:r>
        <w:rPr>
          <w:rFonts w:ascii="宋体" w:hAnsi="宋体" w:cs="宋体"/>
          <w:b/>
          <w:bCs/>
        </w:rPr>
        <w:lastRenderedPageBreak/>
        <w:t>22、所有权或使用权受到限制的资产</w:t>
      </w:r>
      <w:bookmarkEnd w:id="292"/>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A27D66">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w:t>
            </w:r>
          </w:p>
        </w:tc>
      </w:tr>
      <w:tr w:rsidR="00A27D66">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2,580,642.77</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2,580,642.77</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保证金</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票据保证金</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5,763,782.85</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5,763,782.85</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 保证金</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 票据保证金</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13,684,559.20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13,684,559.20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 抵押</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 银行贷款额度抵押（期末无借款）</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无形资产</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1,119,154.86</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1,119,154.86</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 抵押</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 银行贷款额度抵押（期末无借款）</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投资性房地产</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21,857,997.49</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21,857,997.49</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 抵押</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 银行贷款额度抵押（期末无借款）</w:t>
            </w:r>
          </w:p>
        </w:tc>
      </w:tr>
      <w:tr w:rsidR="00A27D66">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2,580,642.77</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2,580,642.77</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42,425,494.40</w:t>
            </w:r>
          </w:p>
        </w:tc>
        <w:tc>
          <w:tcPr>
            <w:tcW w:w="1071"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42,425,494.40</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pStyle w:val="3"/>
        <w:spacing w:line="280" w:lineRule="exact"/>
        <w:jc w:val="left"/>
        <w:rPr>
          <w:rFonts w:ascii="宋体" w:hAnsi="宋体" w:cs="宋体"/>
          <w:b/>
          <w:bCs/>
        </w:rPr>
      </w:pPr>
      <w:bookmarkStart w:id="293" w:name="_Toc989178"/>
      <w:r>
        <w:rPr>
          <w:rFonts w:ascii="宋体" w:hAnsi="宋体" w:cs="宋体"/>
          <w:b/>
          <w:bCs/>
        </w:rPr>
        <w:t>23、短期借款</w:t>
      </w:r>
      <w:bookmarkEnd w:id="293"/>
    </w:p>
    <w:p w:rsidR="00A27D66" w:rsidRDefault="00A2119D">
      <w:pPr>
        <w:keepNext/>
        <w:keepLines/>
        <w:spacing w:before="300" w:after="300" w:line="280" w:lineRule="exact"/>
        <w:outlineLvl w:val="3"/>
        <w:rPr>
          <w:rFonts w:ascii="宋体" w:eastAsia="宋体" w:hAnsi="宋体" w:cs="宋体"/>
          <w:b/>
          <w:bCs/>
          <w:szCs w:val="21"/>
        </w:rPr>
      </w:pPr>
      <w:bookmarkStart w:id="294" w:name="_Toc989179"/>
      <w:r>
        <w:rPr>
          <w:rFonts w:ascii="宋体" w:eastAsia="宋体" w:hAnsi="宋体" w:cs="宋体"/>
          <w:b/>
          <w:bCs/>
          <w:szCs w:val="21"/>
        </w:rPr>
        <w:t>（1） 短期借款分类</w:t>
      </w:r>
      <w:bookmarkEnd w:id="294"/>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bl>
    <w:p w:rsidR="00A27D66" w:rsidRDefault="00A2119D">
      <w:pPr>
        <w:pStyle w:val="3"/>
        <w:spacing w:line="280" w:lineRule="exact"/>
        <w:jc w:val="left"/>
        <w:rPr>
          <w:rFonts w:ascii="宋体" w:hAnsi="宋体" w:cs="宋体"/>
          <w:b/>
          <w:bCs/>
        </w:rPr>
      </w:pPr>
      <w:bookmarkStart w:id="295" w:name="_Toc989180"/>
      <w:r>
        <w:rPr>
          <w:rFonts w:ascii="宋体" w:hAnsi="宋体" w:cs="宋体"/>
          <w:b/>
          <w:bCs/>
        </w:rPr>
        <w:t>24、应付票据</w:t>
      </w:r>
      <w:bookmarkEnd w:id="295"/>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商业承兑汇票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17,369,687.79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11,103,891.96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5,161,285.54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11,527,565.70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22,530,973.33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22,631,457.66</w:t>
            </w:r>
          </w:p>
        </w:tc>
      </w:tr>
    </w:tbl>
    <w:p w:rsidR="00A27D66" w:rsidRDefault="00A2119D">
      <w:pPr>
        <w:pStyle w:val="3"/>
        <w:spacing w:line="280" w:lineRule="exact"/>
        <w:jc w:val="left"/>
        <w:rPr>
          <w:rFonts w:ascii="宋体" w:hAnsi="宋体" w:cs="宋体"/>
          <w:b/>
          <w:bCs/>
        </w:rPr>
      </w:pPr>
      <w:bookmarkStart w:id="296" w:name="_Toc989181"/>
      <w:r>
        <w:rPr>
          <w:rFonts w:ascii="宋体" w:hAnsi="宋体" w:cs="宋体"/>
          <w:b/>
          <w:bCs/>
        </w:rPr>
        <w:t>25、应付账款</w:t>
      </w:r>
      <w:bookmarkEnd w:id="296"/>
    </w:p>
    <w:p w:rsidR="00A27D66" w:rsidRDefault="00A2119D">
      <w:pPr>
        <w:keepNext/>
        <w:keepLines/>
        <w:spacing w:before="300" w:after="300" w:line="280" w:lineRule="exact"/>
        <w:outlineLvl w:val="3"/>
        <w:rPr>
          <w:rFonts w:ascii="宋体" w:eastAsia="宋体" w:hAnsi="宋体" w:cs="宋体"/>
          <w:b/>
          <w:bCs/>
          <w:sz w:val="18"/>
          <w:szCs w:val="18"/>
        </w:rPr>
      </w:pPr>
      <w:bookmarkStart w:id="297" w:name="_Toc989182"/>
      <w:r>
        <w:rPr>
          <w:rFonts w:ascii="宋体" w:eastAsia="宋体" w:hAnsi="宋体" w:cs="宋体"/>
          <w:b/>
          <w:bCs/>
          <w:sz w:val="18"/>
          <w:szCs w:val="18"/>
        </w:rPr>
        <w:t>（1） 应付账款列示</w:t>
      </w:r>
      <w:bookmarkEnd w:id="297"/>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应付货款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34,143,404.32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31,622,228.30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应付设备款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3,079,896.90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993,607.17</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应付工程款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38,522.50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74,078.10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37,261,823.72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32,689,913.57</w:t>
            </w:r>
          </w:p>
        </w:tc>
      </w:tr>
    </w:tbl>
    <w:p w:rsidR="00A27D66" w:rsidRDefault="00A2119D">
      <w:pPr>
        <w:pStyle w:val="3"/>
        <w:spacing w:line="280" w:lineRule="exact"/>
        <w:jc w:val="left"/>
        <w:rPr>
          <w:rFonts w:ascii="宋体" w:hAnsi="宋体" w:cs="宋体"/>
          <w:b/>
          <w:bCs/>
        </w:rPr>
      </w:pPr>
      <w:bookmarkStart w:id="298" w:name="_Toc989183"/>
      <w:r>
        <w:rPr>
          <w:rFonts w:ascii="宋体" w:hAnsi="宋体" w:cs="宋体"/>
          <w:b/>
          <w:bCs/>
        </w:rPr>
        <w:lastRenderedPageBreak/>
        <w:t>26、其他应付款</w:t>
      </w:r>
      <w:bookmarkEnd w:id="298"/>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377,815.97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717,270.70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805047">
            <w:pPr>
              <w:spacing w:line="240" w:lineRule="exact"/>
              <w:jc w:val="right"/>
              <w:rPr>
                <w:rFonts w:ascii="宋体" w:eastAsia="宋体" w:hAnsi="宋体" w:cs="宋体"/>
                <w:sz w:val="18"/>
                <w:szCs w:val="18"/>
              </w:rPr>
            </w:pPr>
            <w:r w:rsidRPr="00805047">
              <w:rPr>
                <w:rFonts w:ascii="宋体" w:eastAsia="宋体" w:hAnsi="宋体" w:cs="宋体"/>
                <w:sz w:val="18"/>
                <w:szCs w:val="18"/>
              </w:rPr>
              <w:t>16,562,669.13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20,633,282.20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805047">
            <w:pPr>
              <w:spacing w:line="240" w:lineRule="exact"/>
              <w:jc w:val="right"/>
              <w:rPr>
                <w:rFonts w:ascii="宋体" w:eastAsia="宋体" w:hAnsi="宋体" w:cs="宋体"/>
                <w:sz w:val="18"/>
                <w:szCs w:val="18"/>
              </w:rPr>
            </w:pPr>
            <w:r w:rsidRPr="00805047">
              <w:rPr>
                <w:rFonts w:ascii="宋体" w:eastAsia="宋体" w:hAnsi="宋体" w:cs="宋体"/>
                <w:sz w:val="18"/>
                <w:szCs w:val="18"/>
              </w:rPr>
              <w:t>16,940,485.10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21,350,552.90</w:t>
            </w:r>
          </w:p>
        </w:tc>
      </w:tr>
    </w:tbl>
    <w:p w:rsidR="00A27D66" w:rsidRDefault="00A2119D">
      <w:pPr>
        <w:keepNext/>
        <w:keepLines/>
        <w:spacing w:before="300" w:after="300" w:line="280" w:lineRule="exact"/>
        <w:outlineLvl w:val="3"/>
        <w:rPr>
          <w:rFonts w:ascii="宋体" w:eastAsia="宋体" w:hAnsi="宋体" w:cs="宋体"/>
          <w:b/>
          <w:bCs/>
          <w:sz w:val="18"/>
          <w:szCs w:val="18"/>
        </w:rPr>
      </w:pPr>
      <w:bookmarkStart w:id="299" w:name="_Toc989184"/>
      <w:r>
        <w:rPr>
          <w:rFonts w:ascii="宋体" w:eastAsia="宋体" w:hAnsi="宋体" w:cs="宋体"/>
          <w:b/>
          <w:bCs/>
          <w:sz w:val="18"/>
          <w:szCs w:val="18"/>
        </w:rPr>
        <w:t>（1） 应付股利</w:t>
      </w:r>
      <w:bookmarkEnd w:id="299"/>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377,815.97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717,270.70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377,815.97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717,270.70</w:t>
            </w:r>
          </w:p>
        </w:tc>
      </w:tr>
    </w:tbl>
    <w:p w:rsidR="00A27D66" w:rsidRDefault="00A2119D">
      <w:pPr>
        <w:keepNext/>
        <w:keepLines/>
        <w:spacing w:before="300" w:after="300" w:line="280" w:lineRule="exact"/>
        <w:outlineLvl w:val="3"/>
        <w:rPr>
          <w:rFonts w:ascii="宋体" w:eastAsia="宋体" w:hAnsi="宋体" w:cs="宋体"/>
          <w:b/>
          <w:bCs/>
          <w:sz w:val="18"/>
          <w:szCs w:val="18"/>
        </w:rPr>
      </w:pPr>
      <w:bookmarkStart w:id="300" w:name="_Toc989185"/>
      <w:r>
        <w:rPr>
          <w:rFonts w:ascii="宋体" w:eastAsia="宋体" w:hAnsi="宋体" w:cs="宋体"/>
          <w:b/>
          <w:bCs/>
          <w:sz w:val="18"/>
          <w:szCs w:val="18"/>
        </w:rPr>
        <w:t>（2） 其他应付款</w:t>
      </w:r>
      <w:bookmarkEnd w:id="300"/>
    </w:p>
    <w:p w:rsidR="00A27D66" w:rsidRDefault="00A2119D">
      <w:pPr>
        <w:keepNext/>
        <w:keepLines/>
        <w:spacing w:before="300" w:after="300" w:line="280" w:lineRule="exact"/>
        <w:outlineLvl w:val="4"/>
        <w:rPr>
          <w:rFonts w:ascii="宋体" w:eastAsia="宋体" w:hAnsi="宋体" w:cs="宋体"/>
          <w:b/>
          <w:bCs/>
          <w:sz w:val="18"/>
          <w:szCs w:val="18"/>
        </w:rPr>
      </w:pPr>
      <w:bookmarkStart w:id="301" w:name="_Toc989186"/>
      <w:r>
        <w:rPr>
          <w:rFonts w:ascii="宋体" w:eastAsia="宋体" w:hAnsi="宋体" w:cs="宋体"/>
          <w:b/>
          <w:bCs/>
          <w:sz w:val="18"/>
          <w:szCs w:val="18"/>
        </w:rPr>
        <w:t>1） 按款项性质列示其他应付款</w:t>
      </w:r>
      <w:bookmarkEnd w:id="301"/>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1,632,364.28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1,327,216.65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单位往来</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14,365,143.47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9,693,380.88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员工往来</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101,281.85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39,745.17</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历史</w:t>
            </w:r>
            <w:proofErr w:type="gramStart"/>
            <w:r>
              <w:rPr>
                <w:rFonts w:ascii="宋体" w:eastAsia="宋体" w:hAnsi="宋体" w:cs="宋体"/>
                <w:sz w:val="18"/>
                <w:szCs w:val="18"/>
              </w:rPr>
              <w:t>遗留款</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79,200.00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79,200.00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股权激励回购款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805047">
            <w:pPr>
              <w:spacing w:line="240" w:lineRule="exact"/>
              <w:jc w:val="right"/>
              <w:rPr>
                <w:rFonts w:ascii="宋体" w:eastAsia="宋体" w:hAnsi="宋体" w:cs="宋体"/>
                <w:sz w:val="18"/>
                <w:szCs w:val="18"/>
              </w:rPr>
            </w:pPr>
            <w:r w:rsidRPr="00805047">
              <w:rPr>
                <w:rFonts w:ascii="宋体" w:eastAsia="宋体" w:hAnsi="宋体" w:cs="宋体"/>
                <w:sz w:val="18"/>
                <w:szCs w:val="18"/>
              </w:rPr>
              <w:t>-</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9,357,443.74</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384,679.53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136,295.76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805047">
            <w:pPr>
              <w:spacing w:line="240" w:lineRule="exact"/>
              <w:jc w:val="right"/>
              <w:rPr>
                <w:rFonts w:ascii="宋体" w:eastAsia="宋体" w:hAnsi="宋体" w:cs="宋体"/>
                <w:sz w:val="18"/>
                <w:szCs w:val="18"/>
              </w:rPr>
            </w:pPr>
            <w:r w:rsidRPr="00805047">
              <w:rPr>
                <w:rFonts w:ascii="宋体" w:eastAsia="宋体" w:hAnsi="宋体" w:cs="宋体"/>
                <w:sz w:val="18"/>
                <w:szCs w:val="18"/>
              </w:rPr>
              <w:t>16,562,669.13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20,633,282.20</w:t>
            </w:r>
          </w:p>
        </w:tc>
      </w:tr>
    </w:tbl>
    <w:p w:rsidR="00A27D66" w:rsidRDefault="00A2119D">
      <w:pPr>
        <w:keepNext/>
        <w:keepLines/>
        <w:spacing w:before="300" w:after="300" w:line="280" w:lineRule="exact"/>
        <w:outlineLvl w:val="4"/>
        <w:rPr>
          <w:rFonts w:ascii="宋体" w:eastAsia="宋体" w:hAnsi="宋体" w:cs="宋体"/>
          <w:b/>
          <w:bCs/>
          <w:sz w:val="18"/>
          <w:szCs w:val="18"/>
        </w:rPr>
      </w:pPr>
      <w:bookmarkStart w:id="302" w:name="_Toc989187"/>
      <w:r>
        <w:rPr>
          <w:rFonts w:ascii="宋体" w:eastAsia="宋体" w:hAnsi="宋体" w:cs="宋体"/>
          <w:b/>
          <w:bCs/>
          <w:sz w:val="18"/>
          <w:szCs w:val="18"/>
        </w:rPr>
        <w:t>2） 账龄超过1年或逾期的重要其他应付款</w:t>
      </w:r>
      <w:bookmarkEnd w:id="302"/>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未偿</w:t>
            </w:r>
            <w:proofErr w:type="gramEnd"/>
            <w:r>
              <w:rPr>
                <w:rFonts w:ascii="宋体" w:eastAsia="宋体" w:hAnsi="宋体" w:cs="宋体"/>
                <w:sz w:val="18"/>
                <w:szCs w:val="18"/>
              </w:rPr>
              <w:t>还或结转的原因</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广州南沙兴华造船有限公司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7,082,000.00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 相关电力指标款未达收款条件</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7,082,000.00</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pStyle w:val="3"/>
        <w:spacing w:line="280" w:lineRule="exact"/>
        <w:jc w:val="left"/>
        <w:rPr>
          <w:rFonts w:ascii="宋体" w:hAnsi="宋体" w:cs="宋体"/>
          <w:b/>
          <w:bCs/>
        </w:rPr>
      </w:pPr>
      <w:bookmarkStart w:id="303" w:name="_Toc989188"/>
      <w:r>
        <w:rPr>
          <w:rFonts w:ascii="宋体" w:hAnsi="宋体" w:cs="宋体"/>
          <w:b/>
          <w:bCs/>
        </w:rPr>
        <w:t>27、合同负债</w:t>
      </w:r>
      <w:bookmarkEnd w:id="303"/>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预收货款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3,359,350.06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626,544.25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3,359,350.06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626,544.25</w:t>
            </w:r>
          </w:p>
        </w:tc>
      </w:tr>
    </w:tbl>
    <w:p w:rsidR="00A27D66" w:rsidRDefault="00A2119D">
      <w:pPr>
        <w:pStyle w:val="3"/>
        <w:spacing w:line="280" w:lineRule="exact"/>
        <w:jc w:val="left"/>
        <w:rPr>
          <w:rFonts w:ascii="宋体" w:hAnsi="宋体" w:cs="宋体"/>
          <w:b/>
          <w:bCs/>
        </w:rPr>
      </w:pPr>
      <w:bookmarkStart w:id="304" w:name="_Toc989189"/>
      <w:r>
        <w:rPr>
          <w:rFonts w:ascii="宋体" w:hAnsi="宋体" w:cs="宋体"/>
          <w:b/>
          <w:bCs/>
        </w:rPr>
        <w:lastRenderedPageBreak/>
        <w:t>28、应付职工薪</w:t>
      </w:r>
      <w:proofErr w:type="gramStart"/>
      <w:r>
        <w:rPr>
          <w:rFonts w:ascii="宋体" w:hAnsi="宋体" w:cs="宋体"/>
          <w:b/>
          <w:bCs/>
        </w:rPr>
        <w:t>酬</w:t>
      </w:r>
      <w:bookmarkEnd w:id="304"/>
      <w:proofErr w:type="gramEnd"/>
    </w:p>
    <w:p w:rsidR="00A27D66" w:rsidRDefault="00A2119D">
      <w:pPr>
        <w:keepNext/>
        <w:keepLines/>
        <w:spacing w:before="300" w:after="300" w:line="280" w:lineRule="exact"/>
        <w:outlineLvl w:val="3"/>
        <w:rPr>
          <w:rFonts w:ascii="宋体" w:eastAsia="宋体" w:hAnsi="宋体" w:cs="宋体"/>
          <w:b/>
          <w:bCs/>
          <w:szCs w:val="21"/>
        </w:rPr>
      </w:pPr>
      <w:bookmarkStart w:id="305" w:name="_Toc989190"/>
      <w:r>
        <w:rPr>
          <w:rFonts w:ascii="宋体" w:eastAsia="宋体" w:hAnsi="宋体" w:cs="宋体"/>
          <w:b/>
          <w:bCs/>
          <w:szCs w:val="21"/>
        </w:rPr>
        <w:t>（1） 应付职工薪</w:t>
      </w:r>
      <w:proofErr w:type="gramStart"/>
      <w:r>
        <w:rPr>
          <w:rFonts w:ascii="宋体" w:eastAsia="宋体" w:hAnsi="宋体" w:cs="宋体"/>
          <w:b/>
          <w:bCs/>
          <w:szCs w:val="21"/>
        </w:rPr>
        <w:t>酬</w:t>
      </w:r>
      <w:proofErr w:type="gramEnd"/>
      <w:r>
        <w:rPr>
          <w:rFonts w:ascii="宋体" w:eastAsia="宋体" w:hAnsi="宋体" w:cs="宋体"/>
          <w:b/>
          <w:bCs/>
          <w:szCs w:val="21"/>
        </w:rPr>
        <w:t>列示</w:t>
      </w:r>
      <w:bookmarkEnd w:id="305"/>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一、短期薪酬</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34,494,276.57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99,000,130.36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103,918,928.27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29,575,478.66</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59,114.60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5,166,230.32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5,162,355.08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62,989.84</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三、辞退福利</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850,656.72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850,656.72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34,553,391.17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105,017,017.40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109,931,940.07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29,638,468.50</w:t>
            </w:r>
          </w:p>
        </w:tc>
      </w:tr>
    </w:tbl>
    <w:p w:rsidR="00A27D66" w:rsidRDefault="00A2119D">
      <w:pPr>
        <w:keepNext/>
        <w:keepLines/>
        <w:spacing w:before="300" w:after="300" w:line="280" w:lineRule="exact"/>
        <w:outlineLvl w:val="3"/>
        <w:rPr>
          <w:rFonts w:ascii="宋体" w:eastAsia="宋体" w:hAnsi="宋体" w:cs="宋体"/>
          <w:b/>
          <w:bCs/>
          <w:szCs w:val="21"/>
        </w:rPr>
      </w:pPr>
      <w:bookmarkStart w:id="306" w:name="_Toc989191"/>
      <w:r>
        <w:rPr>
          <w:rFonts w:ascii="宋体" w:eastAsia="宋体" w:hAnsi="宋体" w:cs="宋体"/>
          <w:b/>
          <w:bCs/>
          <w:szCs w:val="21"/>
        </w:rPr>
        <w:t>（2） 短期薪酬列示</w:t>
      </w:r>
      <w:bookmarkEnd w:id="306"/>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1、工资、奖金、津贴和补贴</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30,241,103.84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88,807,911.90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92,998,228.12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26,050,787.62</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2、职工福利费</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377,158.80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4,030,055.95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4,211,584.61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195,630.14</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3、社会保险费</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32,498.97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2,812,806.11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2,805,109.14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40,195.94</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684415">
            <w:pPr>
              <w:spacing w:before="40" w:after="40" w:line="240" w:lineRule="exact"/>
              <w:rPr>
                <w:rFonts w:ascii="宋体" w:eastAsia="宋体" w:hAnsi="宋体" w:cs="宋体"/>
                <w:sz w:val="18"/>
                <w:szCs w:val="18"/>
              </w:rPr>
            </w:pPr>
            <w:r>
              <w:rPr>
                <w:rFonts w:ascii="宋体" w:eastAsia="宋体" w:hAnsi="宋体" w:cs="宋体"/>
                <w:sz w:val="18"/>
                <w:szCs w:val="18"/>
              </w:rPr>
              <w:t>其中：医疗保险费</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30,479.31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2,606,226.30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2,601,087.08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35,618.53</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684415">
            <w:pPr>
              <w:spacing w:before="40" w:after="40" w:line="240" w:lineRule="exact"/>
              <w:rPr>
                <w:rFonts w:ascii="宋体" w:eastAsia="宋体" w:hAnsi="宋体" w:cs="宋体"/>
                <w:sz w:val="18"/>
                <w:szCs w:val="18"/>
              </w:rPr>
            </w:pPr>
            <w:r>
              <w:rPr>
                <w:rFonts w:ascii="宋体" w:eastAsia="宋体" w:hAnsi="宋体" w:cs="宋体"/>
                <w:sz w:val="18"/>
                <w:szCs w:val="18"/>
              </w:rPr>
              <w:t>工伤保险费</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2,019.66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171,577.05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169,019.30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4,577.41</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rsidP="00684415">
            <w:pPr>
              <w:spacing w:before="40" w:after="40" w:line="240" w:lineRule="exact"/>
              <w:rPr>
                <w:rFonts w:ascii="宋体" w:eastAsia="宋体" w:hAnsi="宋体" w:cs="宋体"/>
                <w:sz w:val="18"/>
                <w:szCs w:val="18"/>
              </w:rPr>
            </w:pPr>
            <w:r>
              <w:rPr>
                <w:rFonts w:ascii="宋体" w:eastAsia="宋体" w:hAnsi="宋体" w:cs="宋体"/>
                <w:sz w:val="18"/>
                <w:szCs w:val="18"/>
              </w:rPr>
              <w:t>生育保险费</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32,886.69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32,886.69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大病医疗保险</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2,116.07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2,116.07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4、住房公积金</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2,751.00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2,711,312.64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2,713,453.64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610.00</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5、工会经费和职工教育经费</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3,840,763.96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638,043.76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1,190,552.76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3,288,254.96</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34,494,276.57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99,000,130.36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103,918,928.27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29,575,478.66</w:t>
            </w:r>
          </w:p>
        </w:tc>
      </w:tr>
    </w:tbl>
    <w:p w:rsidR="00A27D66" w:rsidRDefault="00A2119D">
      <w:pPr>
        <w:keepNext/>
        <w:keepLines/>
        <w:spacing w:before="300" w:after="300" w:line="280" w:lineRule="exact"/>
        <w:outlineLvl w:val="3"/>
        <w:rPr>
          <w:rFonts w:ascii="宋体" w:eastAsia="宋体" w:hAnsi="宋体" w:cs="宋体"/>
          <w:b/>
          <w:bCs/>
          <w:szCs w:val="21"/>
        </w:rPr>
      </w:pPr>
      <w:bookmarkStart w:id="307" w:name="_Toc989192"/>
      <w:r>
        <w:rPr>
          <w:rFonts w:ascii="宋体" w:eastAsia="宋体" w:hAnsi="宋体" w:cs="宋体"/>
          <w:b/>
          <w:bCs/>
          <w:szCs w:val="21"/>
        </w:rPr>
        <w:t>（3） 设定提存计划列示</w:t>
      </w:r>
      <w:bookmarkEnd w:id="307"/>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54,249.74</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4,986,428.82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4,982,697.19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57,981.37</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4,864.86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179,801.50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179,657.89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5,008.47</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59,114.60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5,166,230.32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330361">
            <w:pPr>
              <w:spacing w:line="240" w:lineRule="exact"/>
              <w:jc w:val="right"/>
              <w:rPr>
                <w:rFonts w:ascii="宋体" w:eastAsia="宋体" w:hAnsi="宋体" w:cs="宋体"/>
                <w:sz w:val="18"/>
                <w:szCs w:val="18"/>
              </w:rPr>
            </w:pPr>
            <w:r w:rsidRPr="00330361">
              <w:rPr>
                <w:rFonts w:ascii="宋体" w:eastAsia="宋体" w:hAnsi="宋体" w:cs="宋体"/>
                <w:sz w:val="18"/>
                <w:szCs w:val="18"/>
              </w:rPr>
              <w:t>5,162,355.08</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62,989.84</w:t>
            </w:r>
          </w:p>
        </w:tc>
      </w:tr>
    </w:tbl>
    <w:p w:rsidR="00A27D66" w:rsidRDefault="00A2119D">
      <w:pPr>
        <w:pStyle w:val="3"/>
        <w:spacing w:line="280" w:lineRule="exact"/>
        <w:jc w:val="left"/>
        <w:rPr>
          <w:rFonts w:ascii="宋体" w:hAnsi="宋体" w:cs="宋体"/>
          <w:b/>
          <w:bCs/>
        </w:rPr>
      </w:pPr>
      <w:bookmarkStart w:id="308" w:name="_Toc989193"/>
      <w:r>
        <w:rPr>
          <w:rFonts w:ascii="宋体" w:hAnsi="宋体" w:cs="宋体"/>
          <w:b/>
          <w:bCs/>
        </w:rPr>
        <w:t>29、应交税费</w:t>
      </w:r>
      <w:bookmarkEnd w:id="308"/>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4,883,829.06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2,752,886.09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108,060.70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228,061.76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2,589,877.47</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341,512.55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107,985.49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24,558.69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27,076.94</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146,522.74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46,560.82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地方教育费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67,535.61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984.96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95,827.72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55,266.28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3,400.00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5,791,248.13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5,688,698.75</w:t>
            </w:r>
          </w:p>
        </w:tc>
      </w:tr>
    </w:tbl>
    <w:p w:rsidR="00A27D66" w:rsidRDefault="00A2119D">
      <w:pPr>
        <w:pStyle w:val="3"/>
        <w:spacing w:line="280" w:lineRule="exact"/>
        <w:jc w:val="left"/>
        <w:rPr>
          <w:rFonts w:ascii="宋体" w:hAnsi="宋体" w:cs="宋体"/>
          <w:b/>
          <w:bCs/>
        </w:rPr>
      </w:pPr>
      <w:bookmarkStart w:id="309" w:name="_Toc989194"/>
      <w:r>
        <w:rPr>
          <w:rFonts w:ascii="宋体" w:hAnsi="宋体" w:cs="宋体"/>
          <w:b/>
          <w:bCs/>
        </w:rPr>
        <w:t>30、一年内到期的非流动负债</w:t>
      </w:r>
      <w:bookmarkEnd w:id="309"/>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4,529,626.98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4,247,037.20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4,529,626.98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4,247,037.20</w:t>
            </w:r>
          </w:p>
        </w:tc>
      </w:tr>
    </w:tbl>
    <w:p w:rsidR="00A27D66" w:rsidRDefault="00A2119D">
      <w:pPr>
        <w:pStyle w:val="3"/>
        <w:spacing w:line="280" w:lineRule="exact"/>
        <w:jc w:val="left"/>
        <w:rPr>
          <w:rFonts w:ascii="宋体" w:hAnsi="宋体" w:cs="宋体"/>
          <w:b/>
          <w:bCs/>
        </w:rPr>
      </w:pPr>
      <w:bookmarkStart w:id="310" w:name="_Toc989195"/>
      <w:r>
        <w:rPr>
          <w:rFonts w:ascii="宋体" w:hAnsi="宋体" w:cs="宋体"/>
          <w:b/>
          <w:bCs/>
        </w:rPr>
        <w:t>31、其他流动负债</w:t>
      </w:r>
      <w:bookmarkEnd w:id="310"/>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待</w:t>
            </w:r>
            <w:proofErr w:type="gramStart"/>
            <w:r>
              <w:rPr>
                <w:rFonts w:ascii="宋体" w:eastAsia="宋体" w:hAnsi="宋体" w:cs="宋体"/>
                <w:sz w:val="18"/>
                <w:szCs w:val="18"/>
              </w:rPr>
              <w:t>转销项税</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499,922.62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84,339.51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已背书未到期票据</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27,200.00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527,122.62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84,339.51</w:t>
            </w:r>
          </w:p>
        </w:tc>
      </w:tr>
    </w:tbl>
    <w:p w:rsidR="00A27D66" w:rsidRDefault="00A2119D">
      <w:pPr>
        <w:pStyle w:val="3"/>
        <w:spacing w:line="280" w:lineRule="exact"/>
        <w:jc w:val="left"/>
        <w:rPr>
          <w:rFonts w:ascii="宋体" w:hAnsi="宋体" w:cs="宋体"/>
          <w:b/>
          <w:bCs/>
        </w:rPr>
      </w:pPr>
      <w:bookmarkStart w:id="311" w:name="_Toc989196"/>
      <w:r>
        <w:rPr>
          <w:rFonts w:ascii="宋体" w:hAnsi="宋体" w:cs="宋体"/>
          <w:b/>
          <w:bCs/>
        </w:rPr>
        <w:t>32、租赁负债</w:t>
      </w:r>
      <w:bookmarkEnd w:id="311"/>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租赁付款额</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82,883,544.37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89,325,145.11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未确认融资费用</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-19,739,333.68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-22,379,501.65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-4,529,626.98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-4,247,037.20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58,614,583.71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62,698,606.26</w:t>
            </w:r>
          </w:p>
        </w:tc>
      </w:tr>
    </w:tbl>
    <w:p w:rsidR="00A27D66" w:rsidRDefault="00A2119D">
      <w:pPr>
        <w:pStyle w:val="3"/>
        <w:spacing w:line="280" w:lineRule="exact"/>
        <w:jc w:val="left"/>
        <w:rPr>
          <w:rFonts w:ascii="宋体" w:hAnsi="宋体" w:cs="宋体"/>
          <w:b/>
          <w:bCs/>
        </w:rPr>
      </w:pPr>
      <w:bookmarkStart w:id="312" w:name="_Toc989197"/>
      <w:r>
        <w:rPr>
          <w:rFonts w:ascii="宋体" w:hAnsi="宋体" w:cs="宋体"/>
          <w:b/>
          <w:bCs/>
        </w:rPr>
        <w:t>33、递延收益</w:t>
      </w:r>
      <w:bookmarkEnd w:id="312"/>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A27D6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r>
      <w:tr w:rsidR="00A27D6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2,180,585.32</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2,180,585.32</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项目补助</w:t>
            </w:r>
          </w:p>
        </w:tc>
      </w:tr>
      <w:tr w:rsidR="00A27D66">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2,180,585.32</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2,180,585.32</w:t>
            </w:r>
          </w:p>
        </w:tc>
        <w:tc>
          <w:tcPr>
            <w:tcW w:w="1606"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A27D66" w:rsidRDefault="00A2119D">
      <w:pPr>
        <w:pStyle w:val="3"/>
        <w:spacing w:line="280" w:lineRule="exact"/>
        <w:jc w:val="left"/>
        <w:rPr>
          <w:rFonts w:ascii="宋体" w:hAnsi="宋体" w:cs="宋体"/>
          <w:b/>
          <w:bCs/>
        </w:rPr>
      </w:pPr>
      <w:bookmarkStart w:id="313" w:name="_Toc989198"/>
      <w:r>
        <w:rPr>
          <w:rFonts w:ascii="宋体" w:hAnsi="宋体" w:cs="宋体"/>
          <w:b/>
          <w:bCs/>
        </w:rPr>
        <w:t>34、其他非流动负债</w:t>
      </w:r>
      <w:bookmarkEnd w:id="313"/>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合伙企业其他投资人份额</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3,031,369.99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3,103,755.53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3,031,369.99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3,103,755.53</w:t>
            </w:r>
          </w:p>
        </w:tc>
      </w:tr>
    </w:tbl>
    <w:p w:rsidR="00A27D66" w:rsidRDefault="00A27D66"/>
    <w:p w:rsidR="00A27D66" w:rsidRDefault="00A2119D">
      <w:pPr>
        <w:pStyle w:val="3"/>
        <w:spacing w:line="280" w:lineRule="exact"/>
        <w:jc w:val="left"/>
        <w:rPr>
          <w:rFonts w:ascii="宋体" w:hAnsi="宋体" w:cs="宋体"/>
          <w:b/>
          <w:bCs/>
        </w:rPr>
      </w:pPr>
      <w:bookmarkStart w:id="314" w:name="_Toc989199"/>
      <w:r>
        <w:rPr>
          <w:rFonts w:ascii="宋体" w:hAnsi="宋体" w:cs="宋体"/>
          <w:b/>
          <w:bCs/>
        </w:rPr>
        <w:lastRenderedPageBreak/>
        <w:t>35、股本</w:t>
      </w:r>
      <w:bookmarkEnd w:id="314"/>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04"/>
        <w:gridCol w:w="1205"/>
        <w:gridCol w:w="1205"/>
        <w:gridCol w:w="1205"/>
        <w:gridCol w:w="1205"/>
        <w:gridCol w:w="1205"/>
        <w:gridCol w:w="1205"/>
        <w:gridCol w:w="1205"/>
      </w:tblGrid>
      <w:tr w:rsidR="00A27D66">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442,631,734.00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-6,213,520.00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-6,213,520.00</w:t>
            </w:r>
          </w:p>
        </w:tc>
        <w:tc>
          <w:tcPr>
            <w:tcW w:w="1205"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436,418,214.00</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A2119D" w:rsidRPr="00684415" w:rsidRDefault="00A2119D" w:rsidP="00684415">
      <w:pPr>
        <w:pStyle w:val="a3"/>
        <w:spacing w:before="0" w:beforeAutospacing="0" w:after="0" w:afterAutospacing="0" w:line="360" w:lineRule="auto"/>
        <w:ind w:firstLine="420"/>
        <w:jc w:val="both"/>
        <w:divId w:val="597372959"/>
        <w:rPr>
          <w:rFonts w:cs="Times New Roman"/>
          <w:sz w:val="21"/>
          <w:szCs w:val="21"/>
        </w:rPr>
      </w:pPr>
      <w:r w:rsidRPr="00684415">
        <w:rPr>
          <w:rFonts w:cs="Times New Roman" w:hint="eastAsia"/>
          <w:color w:val="000000"/>
          <w:sz w:val="21"/>
          <w:szCs w:val="21"/>
        </w:rPr>
        <w:t>公司股本本期变动主要为回购注销</w:t>
      </w:r>
      <w:r w:rsidRPr="00684415">
        <w:rPr>
          <w:rFonts w:cs="Times New Roman"/>
          <w:color w:val="000000"/>
          <w:sz w:val="21"/>
          <w:szCs w:val="21"/>
        </w:rPr>
        <w:t>2021</w:t>
      </w:r>
      <w:r w:rsidRPr="00684415">
        <w:rPr>
          <w:rFonts w:cs="Times New Roman" w:hint="eastAsia"/>
          <w:color w:val="000000"/>
          <w:sz w:val="21"/>
          <w:szCs w:val="21"/>
        </w:rPr>
        <w:t>年限制性股票激励计划部分首次授予限制性股票</w:t>
      </w:r>
      <w:r w:rsidRPr="00684415">
        <w:rPr>
          <w:rFonts w:cs="Times New Roman"/>
          <w:color w:val="000000"/>
          <w:sz w:val="21"/>
          <w:szCs w:val="21"/>
        </w:rPr>
        <w:t xml:space="preserve"> 1,520,052.00 </w:t>
      </w:r>
      <w:r w:rsidRPr="00684415">
        <w:rPr>
          <w:rFonts w:cs="Times New Roman" w:hint="eastAsia"/>
          <w:color w:val="000000"/>
          <w:sz w:val="21"/>
          <w:szCs w:val="21"/>
        </w:rPr>
        <w:t>元，回购注销</w:t>
      </w:r>
      <w:r w:rsidRPr="00684415">
        <w:rPr>
          <w:rFonts w:cs="Times New Roman"/>
          <w:color w:val="000000"/>
          <w:sz w:val="21"/>
          <w:szCs w:val="21"/>
        </w:rPr>
        <w:t>2021</w:t>
      </w:r>
      <w:r w:rsidRPr="00684415">
        <w:rPr>
          <w:rFonts w:cs="Times New Roman" w:hint="eastAsia"/>
          <w:color w:val="000000"/>
          <w:sz w:val="21"/>
          <w:szCs w:val="21"/>
        </w:rPr>
        <w:t>年限制性股票激励计划部分预留授予限制性股票</w:t>
      </w:r>
      <w:r w:rsidRPr="00684415">
        <w:rPr>
          <w:rFonts w:cs="Times New Roman"/>
          <w:color w:val="000000"/>
          <w:sz w:val="21"/>
          <w:szCs w:val="21"/>
        </w:rPr>
        <w:t xml:space="preserve"> 211,006.00 </w:t>
      </w:r>
      <w:r w:rsidRPr="00684415">
        <w:rPr>
          <w:rFonts w:cs="Times New Roman" w:hint="eastAsia"/>
          <w:color w:val="000000"/>
          <w:sz w:val="21"/>
          <w:szCs w:val="21"/>
        </w:rPr>
        <w:t>元，回购注销专用证券账户剩余回购股份</w:t>
      </w:r>
      <w:r w:rsidRPr="00684415">
        <w:rPr>
          <w:rFonts w:cs="Times New Roman"/>
          <w:color w:val="000000"/>
          <w:sz w:val="21"/>
          <w:szCs w:val="21"/>
        </w:rPr>
        <w:t>4,482,462.00</w:t>
      </w:r>
      <w:r w:rsidRPr="00684415">
        <w:rPr>
          <w:rFonts w:cs="Times New Roman" w:hint="eastAsia"/>
          <w:color w:val="000000"/>
          <w:sz w:val="21"/>
          <w:szCs w:val="21"/>
        </w:rPr>
        <w:t>元。</w:t>
      </w:r>
    </w:p>
    <w:p w:rsidR="00A27D66" w:rsidRDefault="00A2119D">
      <w:pPr>
        <w:pStyle w:val="3"/>
        <w:spacing w:line="280" w:lineRule="exact"/>
        <w:jc w:val="left"/>
        <w:rPr>
          <w:rFonts w:ascii="宋体" w:hAnsi="宋体" w:cs="宋体"/>
          <w:b/>
          <w:bCs/>
        </w:rPr>
      </w:pPr>
      <w:bookmarkStart w:id="315" w:name="_Toc989200"/>
      <w:r>
        <w:rPr>
          <w:rFonts w:ascii="宋体" w:hAnsi="宋体" w:cs="宋体"/>
          <w:b/>
          <w:bCs/>
        </w:rPr>
        <w:t>36、资本公积</w:t>
      </w:r>
      <w:bookmarkEnd w:id="315"/>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658,576,007.90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51,147,500.92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607,428,506.98</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102,050,841.09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102,050,841.09</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760,626,848.99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51,147,500.92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709,479,348.07</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其他说明，包括本期增减变动情况、变动原因说明：</w:t>
      </w:r>
    </w:p>
    <w:p w:rsidR="00A2119D" w:rsidRPr="00684415" w:rsidRDefault="00A2119D" w:rsidP="00684415">
      <w:pPr>
        <w:pStyle w:val="a3"/>
        <w:spacing w:before="0" w:beforeAutospacing="0" w:after="0" w:afterAutospacing="0" w:line="360" w:lineRule="auto"/>
        <w:ind w:firstLine="420"/>
        <w:jc w:val="both"/>
        <w:divId w:val="452484098"/>
        <w:rPr>
          <w:rFonts w:cs="Times New Roman"/>
          <w:color w:val="000000"/>
          <w:sz w:val="21"/>
          <w:szCs w:val="21"/>
        </w:rPr>
      </w:pPr>
      <w:r>
        <w:rPr>
          <w:rFonts w:cs="Times New Roman" w:hint="eastAsia"/>
          <w:color w:val="000000"/>
          <w:sz w:val="21"/>
          <w:szCs w:val="21"/>
        </w:rPr>
        <w:t>股本溢价变动：本期减少系公司回购注销</w:t>
      </w:r>
      <w:r w:rsidRPr="00684415">
        <w:rPr>
          <w:rFonts w:cs="Times New Roman"/>
          <w:color w:val="000000"/>
          <w:sz w:val="21"/>
          <w:szCs w:val="21"/>
        </w:rPr>
        <w:t>2021</w:t>
      </w:r>
      <w:r>
        <w:rPr>
          <w:rFonts w:cs="Times New Roman" w:hint="eastAsia"/>
          <w:color w:val="000000"/>
          <w:sz w:val="21"/>
          <w:szCs w:val="21"/>
        </w:rPr>
        <w:t>年限制性股票激励计划部分首次授予限制性股票部分减少资本公积</w:t>
      </w:r>
      <w:r w:rsidRPr="00684415">
        <w:rPr>
          <w:rFonts w:cs="Times New Roman"/>
          <w:color w:val="000000"/>
          <w:sz w:val="21"/>
          <w:szCs w:val="21"/>
        </w:rPr>
        <w:t>-</w:t>
      </w:r>
      <w:r>
        <w:rPr>
          <w:rFonts w:cs="Times New Roman" w:hint="eastAsia"/>
          <w:color w:val="000000"/>
          <w:sz w:val="21"/>
          <w:szCs w:val="21"/>
        </w:rPr>
        <w:t>股本溢价</w:t>
      </w:r>
      <w:r w:rsidRPr="00684415">
        <w:rPr>
          <w:rFonts w:cs="Times New Roman"/>
          <w:color w:val="000000"/>
          <w:sz w:val="21"/>
          <w:szCs w:val="21"/>
        </w:rPr>
        <w:t xml:space="preserve"> 6,732,978.92 </w:t>
      </w:r>
      <w:r>
        <w:rPr>
          <w:rFonts w:cs="Times New Roman" w:hint="eastAsia"/>
          <w:color w:val="000000"/>
          <w:sz w:val="21"/>
          <w:szCs w:val="21"/>
        </w:rPr>
        <w:t>元，回购注销</w:t>
      </w:r>
      <w:r w:rsidRPr="00684415">
        <w:rPr>
          <w:rFonts w:cs="Times New Roman"/>
          <w:color w:val="000000"/>
          <w:sz w:val="21"/>
          <w:szCs w:val="21"/>
        </w:rPr>
        <w:t>2021</w:t>
      </w:r>
      <w:r>
        <w:rPr>
          <w:rFonts w:cs="Times New Roman" w:hint="eastAsia"/>
          <w:color w:val="000000"/>
          <w:sz w:val="21"/>
          <w:szCs w:val="21"/>
        </w:rPr>
        <w:t>年限制性股票激励计划部分预留授予限制性股票部分减少资本公积</w:t>
      </w:r>
      <w:r w:rsidRPr="00684415">
        <w:rPr>
          <w:rFonts w:cs="Times New Roman"/>
          <w:color w:val="000000"/>
          <w:sz w:val="21"/>
          <w:szCs w:val="21"/>
        </w:rPr>
        <w:t>-</w:t>
      </w:r>
      <w:r>
        <w:rPr>
          <w:rFonts w:cs="Times New Roman" w:hint="eastAsia"/>
          <w:color w:val="000000"/>
          <w:sz w:val="21"/>
          <w:szCs w:val="21"/>
        </w:rPr>
        <w:t>股本溢价</w:t>
      </w:r>
      <w:r w:rsidRPr="00684415">
        <w:rPr>
          <w:rFonts w:cs="Times New Roman"/>
          <w:color w:val="000000"/>
          <w:sz w:val="21"/>
          <w:szCs w:val="21"/>
        </w:rPr>
        <w:t xml:space="preserve"> 934,640.60 </w:t>
      </w:r>
      <w:r>
        <w:rPr>
          <w:rFonts w:cs="Times New Roman" w:hint="eastAsia"/>
          <w:color w:val="000000"/>
          <w:sz w:val="21"/>
          <w:szCs w:val="21"/>
        </w:rPr>
        <w:t>元；回购注销专用证券账户剩余回购股</w:t>
      </w:r>
      <w:proofErr w:type="gramStart"/>
      <w:r>
        <w:rPr>
          <w:rFonts w:cs="Times New Roman" w:hint="eastAsia"/>
          <w:color w:val="000000"/>
          <w:sz w:val="21"/>
          <w:szCs w:val="21"/>
        </w:rPr>
        <w:t>份部分</w:t>
      </w:r>
      <w:proofErr w:type="gramEnd"/>
      <w:r>
        <w:rPr>
          <w:rFonts w:cs="Times New Roman" w:hint="eastAsia"/>
          <w:color w:val="000000"/>
          <w:sz w:val="21"/>
          <w:szCs w:val="21"/>
        </w:rPr>
        <w:t>减少资本公积</w:t>
      </w:r>
      <w:r w:rsidRPr="00684415">
        <w:rPr>
          <w:rFonts w:cs="Times New Roman"/>
          <w:color w:val="000000"/>
          <w:sz w:val="21"/>
          <w:szCs w:val="21"/>
        </w:rPr>
        <w:t>-</w:t>
      </w:r>
      <w:r>
        <w:rPr>
          <w:rFonts w:cs="Times New Roman" w:hint="eastAsia"/>
          <w:color w:val="000000"/>
          <w:sz w:val="21"/>
          <w:szCs w:val="21"/>
        </w:rPr>
        <w:t>股本溢价</w:t>
      </w:r>
      <w:r w:rsidRPr="00684415">
        <w:rPr>
          <w:rFonts w:cs="Times New Roman"/>
          <w:color w:val="000000"/>
          <w:sz w:val="21"/>
          <w:szCs w:val="21"/>
        </w:rPr>
        <w:t>43,479,881.40</w:t>
      </w:r>
      <w:r>
        <w:rPr>
          <w:rFonts w:cs="Times New Roman" w:hint="eastAsia"/>
          <w:color w:val="000000"/>
          <w:sz w:val="21"/>
          <w:szCs w:val="21"/>
        </w:rPr>
        <w:t>元。</w:t>
      </w:r>
    </w:p>
    <w:p w:rsidR="00A27D66" w:rsidRDefault="00A2119D">
      <w:pPr>
        <w:pStyle w:val="3"/>
        <w:spacing w:line="280" w:lineRule="exact"/>
        <w:jc w:val="left"/>
        <w:rPr>
          <w:rFonts w:ascii="宋体" w:hAnsi="宋体" w:cs="宋体"/>
          <w:b/>
          <w:bCs/>
        </w:rPr>
      </w:pPr>
      <w:bookmarkStart w:id="316" w:name="_Toc989201"/>
      <w:r>
        <w:rPr>
          <w:rFonts w:ascii="宋体" w:hAnsi="宋体" w:cs="宋体"/>
          <w:b/>
          <w:bCs/>
        </w:rPr>
        <w:t>37、库存股</w:t>
      </w:r>
      <w:bookmarkEnd w:id="316"/>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库存股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57,361,020.92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26,618,988.00</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其他说明，包括本期增减变动情况、变动原因说明：</w:t>
      </w:r>
    </w:p>
    <w:p w:rsidR="00A2119D" w:rsidRPr="00684415" w:rsidRDefault="00A2119D" w:rsidP="00684415">
      <w:pPr>
        <w:pStyle w:val="a3"/>
        <w:spacing w:before="0" w:beforeAutospacing="0" w:after="0" w:afterAutospacing="0" w:line="360" w:lineRule="auto"/>
        <w:ind w:firstLine="420"/>
        <w:jc w:val="both"/>
        <w:divId w:val="1272130958"/>
        <w:rPr>
          <w:rFonts w:cs="Times New Roman"/>
          <w:color w:val="000000"/>
          <w:sz w:val="21"/>
          <w:szCs w:val="21"/>
        </w:rPr>
      </w:pPr>
      <w:r>
        <w:rPr>
          <w:rFonts w:cs="Times New Roman" w:hint="eastAsia"/>
          <w:color w:val="000000"/>
          <w:sz w:val="21"/>
          <w:szCs w:val="21"/>
        </w:rPr>
        <w:t>库存股本期增加为公司以自有资金通过集中竞价交易方式回购公司股份增加库存股</w:t>
      </w:r>
      <w:r w:rsidRPr="00684415">
        <w:rPr>
          <w:rFonts w:cs="Times New Roman"/>
          <w:color w:val="000000"/>
          <w:sz w:val="21"/>
          <w:szCs w:val="21"/>
        </w:rPr>
        <w:t>26,618,988.00</w:t>
      </w:r>
      <w:r>
        <w:rPr>
          <w:rFonts w:cs="Times New Roman" w:hint="eastAsia"/>
          <w:color w:val="000000"/>
          <w:sz w:val="21"/>
          <w:szCs w:val="21"/>
        </w:rPr>
        <w:t>元；本期减少为公司回购注销</w:t>
      </w:r>
      <w:r w:rsidRPr="00684415">
        <w:rPr>
          <w:rFonts w:cs="Times New Roman"/>
          <w:color w:val="000000"/>
          <w:sz w:val="21"/>
          <w:szCs w:val="21"/>
        </w:rPr>
        <w:t>2021</w:t>
      </w:r>
      <w:r>
        <w:rPr>
          <w:rFonts w:cs="Times New Roman" w:hint="eastAsia"/>
          <w:color w:val="000000"/>
          <w:sz w:val="21"/>
          <w:szCs w:val="21"/>
        </w:rPr>
        <w:t>年限制性股票激励计划部分首次授予限制性股票减少库存股</w:t>
      </w:r>
      <w:r w:rsidRPr="00684415">
        <w:rPr>
          <w:rFonts w:cs="Times New Roman"/>
          <w:color w:val="000000"/>
          <w:sz w:val="21"/>
          <w:szCs w:val="21"/>
        </w:rPr>
        <w:t xml:space="preserve"> 8,253,030.48 </w:t>
      </w:r>
      <w:r>
        <w:rPr>
          <w:rFonts w:cs="Times New Roman" w:hint="eastAsia"/>
          <w:color w:val="000000"/>
          <w:sz w:val="21"/>
          <w:szCs w:val="21"/>
        </w:rPr>
        <w:t>元，回购注销</w:t>
      </w:r>
      <w:r w:rsidRPr="00684415">
        <w:rPr>
          <w:rFonts w:cs="Times New Roman"/>
          <w:color w:val="000000"/>
          <w:sz w:val="21"/>
          <w:szCs w:val="21"/>
        </w:rPr>
        <w:t>2021</w:t>
      </w:r>
      <w:r>
        <w:rPr>
          <w:rFonts w:cs="Times New Roman" w:hint="eastAsia"/>
          <w:color w:val="000000"/>
          <w:sz w:val="21"/>
          <w:szCs w:val="21"/>
        </w:rPr>
        <w:t>年限制性股票激励计划部分预留授予限制性股票减少库存股</w:t>
      </w:r>
      <w:r w:rsidRPr="00684415">
        <w:rPr>
          <w:rFonts w:cs="Times New Roman"/>
          <w:color w:val="000000"/>
          <w:sz w:val="21"/>
          <w:szCs w:val="21"/>
        </w:rPr>
        <w:t xml:space="preserve"> 1,145,647.04 </w:t>
      </w:r>
      <w:r>
        <w:rPr>
          <w:rFonts w:cs="Times New Roman" w:hint="eastAsia"/>
          <w:color w:val="000000"/>
          <w:sz w:val="21"/>
          <w:szCs w:val="21"/>
        </w:rPr>
        <w:t>元，回购注销专用证券账户剩余回购股</w:t>
      </w:r>
      <w:proofErr w:type="gramStart"/>
      <w:r>
        <w:rPr>
          <w:rFonts w:cs="Times New Roman" w:hint="eastAsia"/>
          <w:color w:val="000000"/>
          <w:sz w:val="21"/>
          <w:szCs w:val="21"/>
        </w:rPr>
        <w:t>份减少</w:t>
      </w:r>
      <w:proofErr w:type="gramEnd"/>
      <w:r>
        <w:rPr>
          <w:rFonts w:cs="Times New Roman" w:hint="eastAsia"/>
          <w:color w:val="000000"/>
          <w:sz w:val="21"/>
          <w:szCs w:val="21"/>
        </w:rPr>
        <w:t>库存股</w:t>
      </w:r>
      <w:r w:rsidRPr="00684415">
        <w:rPr>
          <w:rFonts w:cs="Times New Roman"/>
          <w:color w:val="000000"/>
          <w:sz w:val="21"/>
          <w:szCs w:val="21"/>
        </w:rPr>
        <w:t>47,962,343.40</w:t>
      </w:r>
      <w:r>
        <w:rPr>
          <w:rFonts w:cs="Times New Roman" w:hint="eastAsia"/>
          <w:color w:val="000000"/>
          <w:sz w:val="21"/>
          <w:szCs w:val="21"/>
        </w:rPr>
        <w:t>元。</w:t>
      </w:r>
    </w:p>
    <w:p w:rsidR="00A27D66" w:rsidRDefault="00A2119D">
      <w:pPr>
        <w:pStyle w:val="3"/>
        <w:spacing w:line="280" w:lineRule="exact"/>
        <w:jc w:val="left"/>
        <w:rPr>
          <w:rFonts w:ascii="宋体" w:hAnsi="宋体" w:cs="宋体"/>
          <w:b/>
          <w:bCs/>
        </w:rPr>
      </w:pPr>
      <w:bookmarkStart w:id="317" w:name="_Toc989202"/>
      <w:r>
        <w:rPr>
          <w:rFonts w:ascii="宋体" w:hAnsi="宋体" w:cs="宋体"/>
          <w:b/>
          <w:bCs/>
        </w:rPr>
        <w:lastRenderedPageBreak/>
        <w:t>38、其他综合收益</w:t>
      </w:r>
      <w:bookmarkEnd w:id="317"/>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A27D66" w:rsidTr="00A73E6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rsidTr="00A73E6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减：所得税费用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73E67" w:rsidTr="00A73E6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73E67" w:rsidRDefault="00A73E67" w:rsidP="00A73E67">
            <w:pPr>
              <w:spacing w:before="40" w:after="40" w:line="240" w:lineRule="exact"/>
              <w:rPr>
                <w:rFonts w:ascii="宋体" w:eastAsia="宋体" w:hAnsi="宋体" w:cs="宋体"/>
                <w:sz w:val="18"/>
                <w:szCs w:val="18"/>
              </w:rPr>
            </w:pPr>
            <w:r>
              <w:rPr>
                <w:rFonts w:ascii="宋体" w:eastAsia="宋体" w:hAnsi="宋体" w:cs="宋体"/>
                <w:sz w:val="18"/>
                <w:szCs w:val="18"/>
              </w:rPr>
              <w:t>一、不能重分类进损益的其他综合收益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Pr>
                <w:rFonts w:ascii="宋体" w:eastAsia="宋体" w:hAnsi="宋体" w:cs="宋体"/>
                <w:sz w:val="18"/>
                <w:szCs w:val="18"/>
              </w:rPr>
              <w:t>27,194,333.40</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sidRPr="00800962">
              <w:rPr>
                <w:rFonts w:ascii="宋体" w:eastAsia="宋体" w:hAnsi="宋体" w:cs="宋体"/>
                <w:sz w:val="18"/>
                <w:szCs w:val="18"/>
              </w:rPr>
              <w:t>10,841,595.20</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Pr>
                <w:rFonts w:ascii="宋体" w:eastAsia="宋体" w:hAnsi="宋体" w:cs="宋体"/>
                <w:sz w:val="18"/>
                <w:szCs w:val="18"/>
              </w:rPr>
              <w:t>4,674,974.83</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sidRPr="00800962">
              <w:rPr>
                <w:rFonts w:ascii="宋体" w:eastAsia="宋体" w:hAnsi="宋体" w:cs="宋体"/>
                <w:sz w:val="18"/>
                <w:szCs w:val="18"/>
              </w:rPr>
              <w:t>2,710,398.80</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bookmarkStart w:id="318" w:name="OLE_LINK1"/>
            <w:bookmarkStart w:id="319" w:name="OLE_LINK2"/>
            <w:r w:rsidRPr="00E44E57">
              <w:rPr>
                <w:rFonts w:ascii="宋体" w:eastAsia="宋体" w:hAnsi="宋体" w:cs="宋体"/>
                <w:sz w:val="18"/>
                <w:szCs w:val="18"/>
              </w:rPr>
              <w:t>3,456,221.57</w:t>
            </w:r>
            <w:bookmarkEnd w:id="318"/>
            <w:bookmarkEnd w:id="319"/>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Pr>
                <w:rFonts w:ascii="宋体" w:eastAsia="宋体" w:hAnsi="宋体" w:cs="宋体"/>
                <w:sz w:val="18"/>
                <w:szCs w:val="18"/>
              </w:rPr>
              <w:t>30,650,554.97</w:t>
            </w:r>
          </w:p>
        </w:tc>
      </w:tr>
      <w:tr w:rsidR="00A73E67" w:rsidTr="00A73E6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73E67" w:rsidRDefault="00A73E67" w:rsidP="00A73E67">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其他权益工具投资公允价值变动</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Pr>
                <w:rFonts w:ascii="宋体" w:eastAsia="宋体" w:hAnsi="宋体" w:cs="宋体"/>
                <w:sz w:val="18"/>
                <w:szCs w:val="18"/>
              </w:rPr>
              <w:t>27,194,333.40</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sidRPr="00800962">
              <w:rPr>
                <w:rFonts w:ascii="宋体" w:eastAsia="宋体" w:hAnsi="宋体" w:cs="宋体"/>
                <w:sz w:val="18"/>
                <w:szCs w:val="18"/>
              </w:rPr>
              <w:t>10,841,595.20</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Pr>
                <w:rFonts w:ascii="宋体" w:eastAsia="宋体" w:hAnsi="宋体" w:cs="宋体"/>
                <w:sz w:val="18"/>
                <w:szCs w:val="18"/>
              </w:rPr>
              <w:t>4,674,974.83</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sidRPr="00800962">
              <w:rPr>
                <w:rFonts w:ascii="宋体" w:eastAsia="宋体" w:hAnsi="宋体" w:cs="宋体"/>
                <w:sz w:val="18"/>
                <w:szCs w:val="18"/>
              </w:rPr>
              <w:t>2,710,398.80</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r w:rsidRPr="00E44E57">
              <w:rPr>
                <w:rFonts w:ascii="宋体" w:eastAsia="宋体" w:hAnsi="宋体" w:cs="宋体"/>
                <w:sz w:val="18"/>
                <w:szCs w:val="18"/>
              </w:rPr>
              <w:t>3,456,221.57</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Pr>
                <w:rFonts w:ascii="宋体" w:eastAsia="宋体" w:hAnsi="宋体" w:cs="宋体"/>
                <w:sz w:val="18"/>
                <w:szCs w:val="18"/>
              </w:rPr>
              <w:t>30,650,554.97</w:t>
            </w:r>
          </w:p>
        </w:tc>
      </w:tr>
      <w:tr w:rsidR="00A73E67" w:rsidTr="00A73E6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A73E67" w:rsidRDefault="00A73E67" w:rsidP="00A73E67">
            <w:pPr>
              <w:spacing w:before="40" w:after="40" w:line="240" w:lineRule="exact"/>
              <w:rPr>
                <w:rFonts w:ascii="宋体" w:eastAsia="宋体" w:hAnsi="宋体" w:cs="宋体"/>
                <w:sz w:val="18"/>
                <w:szCs w:val="18"/>
              </w:rPr>
            </w:pPr>
            <w:r>
              <w:rPr>
                <w:rFonts w:ascii="宋体" w:eastAsia="宋体" w:hAnsi="宋体" w:cs="宋体"/>
                <w:sz w:val="18"/>
                <w:szCs w:val="18"/>
              </w:rPr>
              <w:t>其他综合收益合计</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Pr>
                <w:rFonts w:ascii="宋体" w:eastAsia="宋体" w:hAnsi="宋体" w:cs="宋体"/>
                <w:sz w:val="18"/>
                <w:szCs w:val="18"/>
              </w:rPr>
              <w:t>27,194,333.40</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sidRPr="00800962">
              <w:rPr>
                <w:rFonts w:ascii="宋体" w:eastAsia="宋体" w:hAnsi="宋体" w:cs="宋体"/>
                <w:sz w:val="18"/>
                <w:szCs w:val="18"/>
              </w:rPr>
              <w:t>10,841,595.20</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Pr>
                <w:rFonts w:ascii="宋体" w:eastAsia="宋体" w:hAnsi="宋体" w:cs="宋体"/>
                <w:sz w:val="18"/>
                <w:szCs w:val="18"/>
              </w:rPr>
              <w:t>4,674,974.83</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sidRPr="00800962">
              <w:rPr>
                <w:rFonts w:ascii="宋体" w:eastAsia="宋体" w:hAnsi="宋体" w:cs="宋体"/>
                <w:sz w:val="18"/>
                <w:szCs w:val="18"/>
              </w:rPr>
              <w:t>2,710,398.80</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r w:rsidRPr="00E44E57">
              <w:rPr>
                <w:rFonts w:ascii="宋体" w:eastAsia="宋体" w:hAnsi="宋体" w:cs="宋体"/>
                <w:sz w:val="18"/>
                <w:szCs w:val="18"/>
              </w:rPr>
              <w:t>3,456,221.57</w:t>
            </w: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A73E67" w:rsidRDefault="00A73E67" w:rsidP="00A73E67">
            <w:pPr>
              <w:spacing w:line="240" w:lineRule="exact"/>
              <w:jc w:val="right"/>
              <w:rPr>
                <w:rFonts w:ascii="宋体" w:eastAsia="宋体" w:hAnsi="宋体" w:cs="宋体"/>
                <w:sz w:val="18"/>
                <w:szCs w:val="18"/>
              </w:rPr>
            </w:pPr>
            <w:r>
              <w:rPr>
                <w:rFonts w:ascii="宋体" w:eastAsia="宋体" w:hAnsi="宋体" w:cs="宋体"/>
                <w:sz w:val="18"/>
                <w:szCs w:val="18"/>
              </w:rPr>
              <w:t>30,650,554.97</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其他说明，包括对现金流量套期损益的有效部分转为被套</w:t>
      </w:r>
      <w:proofErr w:type="gramStart"/>
      <w:r>
        <w:rPr>
          <w:rFonts w:ascii="宋体" w:eastAsia="宋体" w:hAnsi="宋体" w:cs="宋体"/>
          <w:sz w:val="18"/>
          <w:szCs w:val="18"/>
        </w:rPr>
        <w:t>期项目</w:t>
      </w:r>
      <w:proofErr w:type="gramEnd"/>
      <w:r>
        <w:rPr>
          <w:rFonts w:ascii="宋体" w:eastAsia="宋体" w:hAnsi="宋体" w:cs="宋体"/>
          <w:sz w:val="18"/>
          <w:szCs w:val="18"/>
        </w:rPr>
        <w:t>初始确认金额调整：</w:t>
      </w:r>
    </w:p>
    <w:p w:rsidR="00A2119D" w:rsidRPr="00EE7881" w:rsidRDefault="00A2119D" w:rsidP="00EE7881">
      <w:pPr>
        <w:pStyle w:val="a3"/>
        <w:spacing w:before="0" w:beforeAutospacing="0" w:after="0" w:afterAutospacing="0" w:line="360" w:lineRule="auto"/>
        <w:ind w:firstLine="420"/>
        <w:jc w:val="both"/>
        <w:divId w:val="1072239125"/>
        <w:rPr>
          <w:rFonts w:cs="Times New Roman"/>
          <w:color w:val="000000"/>
          <w:sz w:val="21"/>
          <w:szCs w:val="21"/>
        </w:rPr>
      </w:pPr>
      <w:r>
        <w:rPr>
          <w:rFonts w:cs="Times New Roman" w:hint="eastAsia"/>
          <w:color w:val="000000"/>
          <w:sz w:val="21"/>
          <w:szCs w:val="21"/>
        </w:rPr>
        <w:t>其他综合收益变动是甘化科工其他权益工具投资—深圳陆巡科技有限公司本期发生公允价值变动。</w:t>
      </w:r>
    </w:p>
    <w:p w:rsidR="00A27D66" w:rsidRDefault="00A2119D">
      <w:pPr>
        <w:pStyle w:val="3"/>
        <w:spacing w:line="280" w:lineRule="exact"/>
        <w:jc w:val="left"/>
        <w:rPr>
          <w:rFonts w:ascii="宋体" w:hAnsi="宋体" w:cs="宋体"/>
          <w:b/>
          <w:bCs/>
        </w:rPr>
      </w:pPr>
      <w:bookmarkStart w:id="320" w:name="_Toc989203"/>
      <w:r>
        <w:rPr>
          <w:rFonts w:ascii="宋体" w:hAnsi="宋体" w:cs="宋体"/>
          <w:b/>
          <w:bCs/>
        </w:rPr>
        <w:t>39、专项储备</w:t>
      </w:r>
      <w:bookmarkEnd w:id="320"/>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安全生产费</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5,897,912.92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2,469,265.57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1,753,198.02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6,613,980.47</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5,897,912.92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2,469,265.57</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1,753,198.02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6,613,980.47</w:t>
            </w:r>
          </w:p>
        </w:tc>
      </w:tr>
    </w:tbl>
    <w:p w:rsidR="00A27D66" w:rsidRDefault="00A2119D">
      <w:pPr>
        <w:pStyle w:val="3"/>
        <w:spacing w:line="280" w:lineRule="exact"/>
        <w:jc w:val="left"/>
        <w:rPr>
          <w:rFonts w:ascii="宋体" w:hAnsi="宋体" w:cs="宋体"/>
          <w:b/>
          <w:bCs/>
        </w:rPr>
      </w:pPr>
      <w:bookmarkStart w:id="321" w:name="_Toc989204"/>
      <w:r>
        <w:rPr>
          <w:rFonts w:ascii="宋体" w:hAnsi="宋体" w:cs="宋体"/>
          <w:b/>
          <w:bCs/>
        </w:rPr>
        <w:t>40、盈余公积</w:t>
      </w:r>
      <w:bookmarkEnd w:id="321"/>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4C3A5E">
            <w:pPr>
              <w:spacing w:line="240" w:lineRule="exact"/>
              <w:jc w:val="right"/>
              <w:rPr>
                <w:rFonts w:ascii="宋体" w:eastAsia="宋体" w:hAnsi="宋体" w:cs="宋体"/>
                <w:sz w:val="18"/>
                <w:szCs w:val="18"/>
              </w:rPr>
            </w:pPr>
            <w:r w:rsidRPr="004C3A5E">
              <w:rPr>
                <w:rFonts w:ascii="宋体" w:eastAsia="宋体" w:hAnsi="宋体" w:cs="宋体"/>
                <w:sz w:val="18"/>
                <w:szCs w:val="18"/>
              </w:rPr>
              <w:t xml:space="preserve">1,858,581.53   </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4C3A5E">
            <w:pPr>
              <w:spacing w:line="240" w:lineRule="exact"/>
              <w:jc w:val="right"/>
              <w:rPr>
                <w:rFonts w:ascii="宋体" w:eastAsia="宋体" w:hAnsi="宋体" w:cs="宋体"/>
                <w:sz w:val="18"/>
                <w:szCs w:val="18"/>
              </w:rPr>
            </w:pPr>
            <w:r w:rsidRPr="004C3A5E">
              <w:rPr>
                <w:rFonts w:ascii="宋体" w:eastAsia="宋体" w:hAnsi="宋体" w:cs="宋体"/>
                <w:sz w:val="18"/>
                <w:szCs w:val="18"/>
              </w:rPr>
              <w:t xml:space="preserve">92,787,529.06  </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90,928,947.53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4C3A5E">
            <w:pPr>
              <w:spacing w:line="240" w:lineRule="exact"/>
              <w:jc w:val="right"/>
              <w:rPr>
                <w:rFonts w:ascii="宋体" w:eastAsia="宋体" w:hAnsi="宋体" w:cs="宋体"/>
                <w:sz w:val="18"/>
                <w:szCs w:val="18"/>
              </w:rPr>
            </w:pPr>
            <w:r w:rsidRPr="004C3A5E">
              <w:rPr>
                <w:rFonts w:ascii="宋体" w:eastAsia="宋体" w:hAnsi="宋体" w:cs="宋体"/>
                <w:sz w:val="18"/>
                <w:szCs w:val="18"/>
              </w:rPr>
              <w:t xml:space="preserve">1,858,581.53   </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4C3A5E">
            <w:pPr>
              <w:spacing w:line="240" w:lineRule="exact"/>
              <w:jc w:val="right"/>
              <w:rPr>
                <w:rFonts w:ascii="宋体" w:eastAsia="宋体" w:hAnsi="宋体" w:cs="宋体"/>
                <w:sz w:val="18"/>
                <w:szCs w:val="18"/>
              </w:rPr>
            </w:pPr>
            <w:r w:rsidRPr="004C3A5E">
              <w:rPr>
                <w:rFonts w:ascii="宋体" w:eastAsia="宋体" w:hAnsi="宋体" w:cs="宋体"/>
                <w:sz w:val="18"/>
                <w:szCs w:val="18"/>
              </w:rPr>
              <w:t xml:space="preserve">92,787,529.06  </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盈余公积说明，包括本期增减变动情况、变动原因说明：</w:t>
      </w:r>
    </w:p>
    <w:p w:rsidR="00A2119D" w:rsidRPr="00EE7881" w:rsidRDefault="00A2119D" w:rsidP="00EE7881">
      <w:pPr>
        <w:pStyle w:val="a3"/>
        <w:spacing w:before="0" w:beforeAutospacing="0" w:after="0" w:afterAutospacing="0" w:line="360" w:lineRule="auto"/>
        <w:ind w:firstLine="420"/>
        <w:jc w:val="both"/>
        <w:divId w:val="1260599126"/>
        <w:rPr>
          <w:rFonts w:cs="Times New Roman"/>
          <w:color w:val="000000"/>
          <w:sz w:val="21"/>
          <w:szCs w:val="21"/>
        </w:rPr>
      </w:pPr>
      <w:r>
        <w:rPr>
          <w:rFonts w:cs="Times New Roman" w:hint="eastAsia"/>
          <w:color w:val="000000"/>
          <w:sz w:val="21"/>
          <w:szCs w:val="21"/>
        </w:rPr>
        <w:t>盈余公积本期增加为：</w:t>
      </w:r>
      <w:r w:rsidRPr="00EE7881">
        <w:rPr>
          <w:rFonts w:cs="Times New Roman"/>
          <w:color w:val="000000"/>
          <w:sz w:val="21"/>
          <w:szCs w:val="21"/>
        </w:rPr>
        <w:t>1</w:t>
      </w:r>
      <w:r>
        <w:rPr>
          <w:rFonts w:cs="Times New Roman" w:hint="eastAsia"/>
          <w:color w:val="000000"/>
          <w:sz w:val="21"/>
          <w:szCs w:val="21"/>
        </w:rPr>
        <w:t>、公司根据当年税后净利润提取法定盈余公积</w:t>
      </w:r>
      <w:r w:rsidR="004C3A5E" w:rsidRPr="004C3A5E">
        <w:rPr>
          <w:rFonts w:cs="Times New Roman"/>
          <w:color w:val="000000"/>
          <w:sz w:val="21"/>
          <w:szCs w:val="21"/>
        </w:rPr>
        <w:t>1,391,084.05</w:t>
      </w:r>
      <w:r>
        <w:rPr>
          <w:rFonts w:cs="Times New Roman" w:hint="eastAsia"/>
          <w:color w:val="000000"/>
          <w:sz w:val="21"/>
          <w:szCs w:val="21"/>
        </w:rPr>
        <w:t>元；</w:t>
      </w:r>
      <w:r w:rsidRPr="00EE7881">
        <w:rPr>
          <w:rFonts w:cs="Times New Roman"/>
          <w:color w:val="000000"/>
          <w:sz w:val="21"/>
          <w:szCs w:val="21"/>
        </w:rPr>
        <w:t>2</w:t>
      </w:r>
      <w:r>
        <w:rPr>
          <w:rFonts w:cs="Times New Roman" w:hint="eastAsia"/>
          <w:color w:val="000000"/>
          <w:sz w:val="21"/>
          <w:szCs w:val="21"/>
        </w:rPr>
        <w:t>、公司当年处置其他权益工具投资，其他综合收益结转至留存收益，</w:t>
      </w:r>
      <w:r w:rsidR="004C3A5E">
        <w:rPr>
          <w:rFonts w:cs="Times New Roman" w:hint="eastAsia"/>
          <w:color w:val="000000"/>
          <w:sz w:val="21"/>
          <w:szCs w:val="21"/>
        </w:rPr>
        <w:t>增加</w:t>
      </w:r>
      <w:r>
        <w:rPr>
          <w:rFonts w:cs="Times New Roman" w:hint="eastAsia"/>
          <w:color w:val="000000"/>
          <w:sz w:val="21"/>
          <w:szCs w:val="21"/>
        </w:rPr>
        <w:t>盈余公积</w:t>
      </w:r>
      <w:r w:rsidRPr="00EE7881">
        <w:rPr>
          <w:rFonts w:cs="Times New Roman"/>
          <w:color w:val="000000"/>
          <w:sz w:val="21"/>
          <w:szCs w:val="21"/>
        </w:rPr>
        <w:t>467,497.48</w:t>
      </w:r>
      <w:r>
        <w:rPr>
          <w:rFonts w:cs="Times New Roman" w:hint="eastAsia"/>
          <w:color w:val="000000"/>
          <w:sz w:val="21"/>
          <w:szCs w:val="21"/>
        </w:rPr>
        <w:t>元。</w:t>
      </w:r>
    </w:p>
    <w:p w:rsidR="00A27D66" w:rsidRDefault="00A2119D">
      <w:pPr>
        <w:pStyle w:val="3"/>
        <w:spacing w:line="280" w:lineRule="exact"/>
        <w:jc w:val="left"/>
        <w:rPr>
          <w:rFonts w:ascii="宋体" w:hAnsi="宋体" w:cs="宋体"/>
          <w:b/>
          <w:bCs/>
        </w:rPr>
      </w:pPr>
      <w:bookmarkStart w:id="322" w:name="_Toc989205"/>
      <w:r>
        <w:rPr>
          <w:rFonts w:ascii="宋体" w:hAnsi="宋体" w:cs="宋体"/>
          <w:b/>
          <w:bCs/>
        </w:rPr>
        <w:t>41、未分配利润</w:t>
      </w:r>
      <w:bookmarkEnd w:id="322"/>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339,678,471.67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572,747,285.46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339,678,471.67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572,747,285.46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4C3A5E">
            <w:pPr>
              <w:spacing w:line="240" w:lineRule="exact"/>
              <w:jc w:val="right"/>
              <w:rPr>
                <w:rFonts w:ascii="宋体" w:eastAsia="宋体" w:hAnsi="宋体" w:cs="宋体"/>
                <w:sz w:val="18"/>
                <w:szCs w:val="18"/>
              </w:rPr>
            </w:pPr>
            <w:r w:rsidRPr="004C3A5E">
              <w:rPr>
                <w:rFonts w:ascii="宋体" w:eastAsia="宋体" w:hAnsi="宋体" w:cs="宋体"/>
                <w:sz w:val="18"/>
                <w:szCs w:val="18"/>
              </w:rPr>
              <w:t>20,514,596.04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-233,068,813.79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减：提取法定盈余公积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4C3A5E">
            <w:pPr>
              <w:spacing w:line="240" w:lineRule="exact"/>
              <w:jc w:val="right"/>
              <w:rPr>
                <w:rFonts w:ascii="宋体" w:eastAsia="宋体" w:hAnsi="宋体" w:cs="宋体"/>
                <w:sz w:val="18"/>
                <w:szCs w:val="18"/>
              </w:rPr>
            </w:pPr>
            <w:r w:rsidRPr="004C3A5E">
              <w:rPr>
                <w:rFonts w:ascii="宋体" w:eastAsia="宋体" w:hAnsi="宋体" w:cs="宋体"/>
                <w:sz w:val="18"/>
                <w:szCs w:val="18"/>
              </w:rPr>
              <w:t xml:space="preserve">1,391,084.05    </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4C3A5E">
            <w:pPr>
              <w:spacing w:line="240" w:lineRule="exact"/>
              <w:jc w:val="right"/>
              <w:rPr>
                <w:rFonts w:ascii="宋体" w:eastAsia="宋体" w:hAnsi="宋体" w:cs="宋体"/>
                <w:sz w:val="18"/>
                <w:szCs w:val="18"/>
              </w:rPr>
            </w:pPr>
            <w:r>
              <w:rPr>
                <w:rFonts w:ascii="宋体" w:eastAsia="宋体" w:hAnsi="宋体" w:cs="宋体"/>
                <w:sz w:val="18"/>
                <w:szCs w:val="18"/>
              </w:rPr>
              <w:t>-</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加：所有者权益内部结转</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4,207,477.35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4C3A5E">
            <w:pPr>
              <w:spacing w:line="240" w:lineRule="exact"/>
              <w:jc w:val="right"/>
              <w:rPr>
                <w:rFonts w:ascii="宋体" w:eastAsia="宋体" w:hAnsi="宋体" w:cs="宋体"/>
                <w:sz w:val="18"/>
                <w:szCs w:val="18"/>
              </w:rPr>
            </w:pPr>
            <w:r w:rsidRPr="004C3A5E">
              <w:rPr>
                <w:rFonts w:ascii="宋体" w:eastAsia="宋体" w:hAnsi="宋体" w:cs="宋体"/>
                <w:sz w:val="18"/>
                <w:szCs w:val="18"/>
              </w:rPr>
              <w:t xml:space="preserve">363,009,461.01   </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339,678,471.67</w:t>
            </w:r>
          </w:p>
        </w:tc>
      </w:tr>
    </w:tbl>
    <w:p w:rsidR="00A27D66" w:rsidRDefault="00A2119D">
      <w:pPr>
        <w:pStyle w:val="3"/>
        <w:spacing w:line="280" w:lineRule="exact"/>
        <w:jc w:val="left"/>
        <w:rPr>
          <w:rFonts w:ascii="宋体" w:hAnsi="宋体" w:cs="宋体"/>
          <w:b/>
          <w:bCs/>
        </w:rPr>
      </w:pPr>
      <w:bookmarkStart w:id="323" w:name="_Toc989206"/>
      <w:r>
        <w:rPr>
          <w:rFonts w:ascii="宋体" w:hAnsi="宋体" w:cs="宋体"/>
          <w:b/>
          <w:bCs/>
        </w:rPr>
        <w:t>42、营业收入和营业成本</w:t>
      </w:r>
      <w:bookmarkEnd w:id="323"/>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27D66">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388,916,169.71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178,125,499.55</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315,832,740.96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151,877,869.83</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7,372,442.81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9,440,912.41</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7,444,518.93</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3,974,619.61</w:t>
            </w:r>
          </w:p>
        </w:tc>
      </w:tr>
      <w:tr w:rsidR="00A27D66">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396,288,612.52</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187,566,411.96</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323,277,259.89</w:t>
            </w:r>
          </w:p>
        </w:tc>
        <w:tc>
          <w:tcPr>
            <w:tcW w:w="192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155,852,489.44</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经审计扣除非经常损益</w:t>
      </w:r>
      <w:proofErr w:type="gramStart"/>
      <w:r>
        <w:rPr>
          <w:rFonts w:ascii="宋体" w:eastAsia="宋体" w:hAnsi="宋体" w:cs="宋体"/>
          <w:sz w:val="18"/>
          <w:szCs w:val="18"/>
        </w:rPr>
        <w:t>前后净</w:t>
      </w:r>
      <w:proofErr w:type="gramEnd"/>
      <w:r>
        <w:rPr>
          <w:rFonts w:ascii="宋体" w:eastAsia="宋体" w:hAnsi="宋体" w:cs="宋体"/>
          <w:sz w:val="18"/>
          <w:szCs w:val="18"/>
        </w:rPr>
        <w:t>利润孰</w:t>
      </w:r>
      <w:proofErr w:type="gramStart"/>
      <w:r>
        <w:rPr>
          <w:rFonts w:ascii="宋体" w:eastAsia="宋体" w:hAnsi="宋体" w:cs="宋体"/>
          <w:sz w:val="18"/>
          <w:szCs w:val="18"/>
        </w:rPr>
        <w:t>低是否</w:t>
      </w:r>
      <w:proofErr w:type="gramEnd"/>
      <w:r>
        <w:rPr>
          <w:rFonts w:ascii="宋体" w:eastAsia="宋体" w:hAnsi="宋体" w:cs="宋体"/>
          <w:sz w:val="18"/>
          <w:szCs w:val="18"/>
        </w:rPr>
        <w:t>为负值</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A27D66" w:rsidRDefault="00A2119D">
      <w:pPr>
        <w:spacing w:line="240" w:lineRule="exact"/>
        <w:rPr>
          <w:rFonts w:ascii="宋体" w:eastAsia="宋体" w:hAnsi="宋体" w:cs="宋体"/>
          <w:sz w:val="18"/>
          <w:szCs w:val="18"/>
        </w:rPr>
      </w:pPr>
      <w:r>
        <w:rPr>
          <w:rFonts w:ascii="宋体" w:eastAsia="宋体" w:hAnsi="宋体" w:cs="宋体"/>
          <w:sz w:val="18"/>
          <w:szCs w:val="18"/>
        </w:rPr>
        <w:t>营业收入、营业成本的分解信息：</w:t>
      </w:r>
    </w:p>
    <w:p w:rsidR="0068001F" w:rsidRDefault="0068001F" w:rsidP="0068001F">
      <w:pPr>
        <w:spacing w:line="240" w:lineRule="exact"/>
        <w:rPr>
          <w:rFonts w:ascii="宋体" w:eastAsia="宋体" w:hAnsi="宋体" w:cs="宋体"/>
          <w:sz w:val="18"/>
          <w:szCs w:val="18"/>
        </w:rPr>
      </w:pPr>
      <w:bookmarkStart w:id="324" w:name="_Toc989207"/>
    </w:p>
    <w:tbl>
      <w:tblPr>
        <w:tblW w:w="963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74"/>
        <w:gridCol w:w="874"/>
        <w:gridCol w:w="876"/>
        <w:gridCol w:w="876"/>
        <w:gridCol w:w="877"/>
        <w:gridCol w:w="876"/>
        <w:gridCol w:w="877"/>
        <w:gridCol w:w="876"/>
        <w:gridCol w:w="877"/>
        <w:gridCol w:w="876"/>
        <w:gridCol w:w="877"/>
      </w:tblGrid>
      <w:tr w:rsidR="0068001F" w:rsidTr="006D4A14">
        <w:trPr>
          <w:trHeight w:val="240"/>
        </w:trPr>
        <w:tc>
          <w:tcPr>
            <w:tcW w:w="875"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合同分类</w:t>
            </w:r>
          </w:p>
        </w:tc>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分部1</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分部2</w:t>
            </w:r>
          </w:p>
        </w:tc>
        <w:tc>
          <w:tcPr>
            <w:tcW w:w="1753" w:type="dxa"/>
            <w:gridSpan w:val="2"/>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center"/>
              <w:rPr>
                <w:rFonts w:ascii="宋体" w:eastAsia="宋体" w:hAnsi="宋体" w:cs="宋体"/>
                <w:sz w:val="18"/>
                <w:szCs w:val="18"/>
              </w:rPr>
            </w:pPr>
            <w:r>
              <w:rPr>
                <w:rFonts w:ascii="宋体" w:eastAsia="宋体" w:hAnsi="宋体" w:cs="宋体" w:hint="eastAsia"/>
                <w:sz w:val="18"/>
                <w:szCs w:val="18"/>
              </w:rPr>
              <w:t>分部 3</w:t>
            </w:r>
          </w:p>
        </w:tc>
        <w:tc>
          <w:tcPr>
            <w:tcW w:w="1753" w:type="dxa"/>
            <w:gridSpan w:val="2"/>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center"/>
              <w:rPr>
                <w:rFonts w:ascii="宋体" w:eastAsia="宋体" w:hAnsi="宋体" w:cs="宋体"/>
                <w:sz w:val="18"/>
                <w:szCs w:val="18"/>
              </w:rPr>
            </w:pPr>
            <w:r>
              <w:rPr>
                <w:rFonts w:ascii="宋体" w:eastAsia="宋体" w:hAnsi="宋体" w:cs="宋体" w:hint="eastAsia"/>
                <w:sz w:val="18"/>
                <w:szCs w:val="18"/>
              </w:rPr>
              <w:t>分部 4</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合计</w:t>
            </w:r>
          </w:p>
        </w:tc>
      </w:tr>
      <w:tr w:rsidR="0068001F" w:rsidTr="006D4A14">
        <w:trPr>
          <w:trHeight w:val="240"/>
        </w:trPr>
        <w:tc>
          <w:tcPr>
            <w:tcW w:w="875" w:type="dxa"/>
            <w:vMerge/>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widowControl/>
              <w:rPr>
                <w:rFonts w:ascii="宋体" w:eastAsia="宋体" w:hAnsi="宋体" w:cs="宋体"/>
                <w:sz w:val="18"/>
                <w:szCs w:val="18"/>
              </w:rPr>
            </w:pPr>
          </w:p>
        </w:tc>
        <w:tc>
          <w:tcPr>
            <w:tcW w:w="8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营业收入</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营业成本</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营业收入</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营业成本</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营业收入</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营业成本</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营业收入</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营业成本</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营业收入</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营业成本</w:t>
            </w:r>
          </w:p>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rPr>
                <w:rFonts w:ascii="宋体" w:eastAsia="宋体" w:hAnsi="宋体" w:cs="宋体"/>
                <w:sz w:val="18"/>
                <w:szCs w:val="18"/>
              </w:rPr>
            </w:pPr>
            <w:r>
              <w:rPr>
                <w:rFonts w:ascii="宋体" w:eastAsia="宋体" w:hAnsi="宋体" w:cs="宋体" w:hint="eastAsia"/>
                <w:sz w:val="18"/>
                <w:szCs w:val="18"/>
              </w:rPr>
              <w:t>业务类型</w:t>
            </w:r>
          </w:p>
        </w:tc>
        <w:tc>
          <w:tcPr>
            <w:tcW w:w="875"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rPr>
                <w:rFonts w:ascii="宋体" w:eastAsia="宋体" w:hAnsi="宋体" w:cs="宋体"/>
                <w:sz w:val="18"/>
                <w:szCs w:val="18"/>
              </w:rPr>
            </w:pPr>
            <w:r>
              <w:rPr>
                <w:rFonts w:ascii="宋体" w:eastAsia="宋体" w:hAnsi="宋体" w:cs="宋体" w:hint="eastAsia"/>
                <w:sz w:val="18"/>
                <w:szCs w:val="18"/>
              </w:rPr>
              <w:t>其中：</w:t>
            </w:r>
          </w:p>
        </w:tc>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rPr>
                <w:rFonts w:ascii="宋体" w:eastAsia="宋体" w:hAnsi="宋体" w:cs="宋体"/>
                <w:sz w:val="18"/>
                <w:szCs w:val="18"/>
              </w:rPr>
            </w:pPr>
            <w:r>
              <w:rPr>
                <w:rFonts w:ascii="宋体" w:eastAsia="宋体" w:hAnsi="宋体" w:cs="宋体" w:hint="eastAsia"/>
                <w:sz w:val="18"/>
                <w:szCs w:val="18"/>
              </w:rPr>
              <w:t>电源及相关产品</w:t>
            </w:r>
          </w:p>
        </w:tc>
        <w:tc>
          <w:tcPr>
            <w:tcW w:w="875"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253,849,816.99</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79,651,483.79</w:t>
            </w: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253,849,816.99</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79,676,032.14</w:t>
            </w:r>
          </w:p>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rPr>
                <w:rFonts w:ascii="宋体" w:eastAsia="宋体" w:hAnsi="宋体" w:cs="宋体"/>
                <w:sz w:val="18"/>
                <w:szCs w:val="18"/>
              </w:rPr>
            </w:pPr>
            <w:r>
              <w:rPr>
                <w:rFonts w:ascii="宋体" w:eastAsia="宋体" w:hAnsi="宋体" w:cs="宋体" w:hint="eastAsia"/>
                <w:sz w:val="18"/>
                <w:szCs w:val="18"/>
              </w:rPr>
              <w:t>高性能特种合金材料制品</w:t>
            </w:r>
          </w:p>
        </w:tc>
        <w:tc>
          <w:tcPr>
            <w:tcW w:w="875"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125,636,499.62</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91,161,869.46</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9,429,853.10</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7,287,597.95</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135,066,352.72</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98,449,467.41</w:t>
            </w:r>
          </w:p>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rPr>
                <w:rFonts w:ascii="宋体" w:eastAsia="宋体" w:hAnsi="宋体" w:cs="宋体"/>
                <w:sz w:val="18"/>
                <w:szCs w:val="18"/>
              </w:rPr>
            </w:pPr>
            <w:r>
              <w:rPr>
                <w:rFonts w:ascii="宋体" w:eastAsia="宋体" w:hAnsi="宋体" w:cs="宋体" w:hint="eastAsia"/>
                <w:sz w:val="18"/>
                <w:szCs w:val="18"/>
              </w:rPr>
              <w:t>其他</w:t>
            </w:r>
          </w:p>
        </w:tc>
        <w:tc>
          <w:tcPr>
            <w:tcW w:w="875"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3,460,118.76</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1,413,912.18</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2,351,437.54</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6,923,560.56</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1,522,398.01</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1,073,725.62</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38,488.50</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29,714.05</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7,372,442.81</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9,440,912.41</w:t>
            </w:r>
          </w:p>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rPr>
                <w:rFonts w:ascii="宋体" w:eastAsia="宋体" w:hAnsi="宋体" w:cs="宋体"/>
                <w:sz w:val="18"/>
                <w:szCs w:val="18"/>
              </w:rPr>
            </w:pPr>
            <w:r>
              <w:rPr>
                <w:rFonts w:ascii="宋体" w:eastAsia="宋体" w:hAnsi="宋体" w:cs="宋体" w:hint="eastAsia"/>
                <w:sz w:val="18"/>
                <w:szCs w:val="18"/>
              </w:rPr>
              <w:t>按经营地区分类</w:t>
            </w:r>
          </w:p>
        </w:tc>
        <w:tc>
          <w:tcPr>
            <w:tcW w:w="875"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rPr>
                <w:rFonts w:ascii="宋体" w:eastAsia="宋体" w:hAnsi="宋体" w:cs="宋体"/>
                <w:sz w:val="18"/>
                <w:szCs w:val="18"/>
              </w:rPr>
            </w:pPr>
            <w:r>
              <w:rPr>
                <w:rFonts w:ascii="宋体" w:eastAsia="宋体" w:hAnsi="宋体" w:cs="宋体" w:hint="eastAsia"/>
                <w:sz w:val="18"/>
                <w:szCs w:val="18"/>
              </w:rPr>
              <w:t>其中：</w:t>
            </w:r>
          </w:p>
        </w:tc>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rPr>
                <w:rFonts w:ascii="宋体" w:eastAsia="宋体" w:hAnsi="宋体" w:cs="宋体"/>
                <w:sz w:val="18"/>
                <w:szCs w:val="18"/>
              </w:rPr>
            </w:pPr>
            <w:r>
              <w:rPr>
                <w:rFonts w:ascii="宋体" w:eastAsia="宋体" w:hAnsi="宋体" w:cs="宋体" w:hint="eastAsia"/>
                <w:sz w:val="18"/>
                <w:szCs w:val="18"/>
              </w:rPr>
              <w:t>广东</w:t>
            </w:r>
          </w:p>
        </w:tc>
        <w:tc>
          <w:tcPr>
            <w:tcW w:w="875"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3,460,118.76</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1,413,912.18</w:t>
            </w: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3,460,118.76</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1,413,912.18</w:t>
            </w:r>
          </w:p>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rPr>
                <w:rFonts w:ascii="宋体" w:eastAsia="宋体" w:hAnsi="宋体" w:cs="宋体"/>
                <w:sz w:val="18"/>
                <w:szCs w:val="18"/>
              </w:rPr>
            </w:pPr>
            <w:r>
              <w:rPr>
                <w:rFonts w:ascii="宋体" w:eastAsia="宋体" w:hAnsi="宋体" w:cs="宋体" w:hint="eastAsia"/>
                <w:sz w:val="18"/>
                <w:szCs w:val="18"/>
              </w:rPr>
              <w:t>四川</w:t>
            </w:r>
          </w:p>
        </w:tc>
        <w:tc>
          <w:tcPr>
            <w:tcW w:w="875"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256,201,254.53</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86,575,044.35</w:t>
            </w: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256,201,254.53</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86,575,044.35</w:t>
            </w:r>
          </w:p>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rPr>
                <w:rFonts w:ascii="宋体" w:eastAsia="宋体" w:hAnsi="宋体" w:cs="宋体"/>
                <w:sz w:val="18"/>
                <w:szCs w:val="18"/>
              </w:rPr>
            </w:pPr>
            <w:r>
              <w:rPr>
                <w:rFonts w:ascii="宋体" w:eastAsia="宋体" w:hAnsi="宋体" w:cs="宋体" w:hint="eastAsia"/>
                <w:sz w:val="18"/>
                <w:szCs w:val="18"/>
              </w:rPr>
              <w:t>辽宁</w:t>
            </w:r>
          </w:p>
        </w:tc>
        <w:tc>
          <w:tcPr>
            <w:tcW w:w="875"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127,158,897.63</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92,235,595.08</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9,468,341.60</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7,317,312.00</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136,627,239.23</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99,552,907.08</w:t>
            </w:r>
          </w:p>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rPr>
                <w:rFonts w:ascii="宋体" w:eastAsia="宋体" w:hAnsi="宋体" w:cs="宋体"/>
                <w:sz w:val="18"/>
                <w:szCs w:val="18"/>
              </w:rPr>
            </w:pPr>
            <w:r>
              <w:rPr>
                <w:rFonts w:ascii="宋体" w:eastAsia="宋体" w:hAnsi="宋体" w:cs="宋体" w:hint="eastAsia"/>
                <w:sz w:val="18"/>
                <w:szCs w:val="18"/>
              </w:rPr>
              <w:t>按商品转让的时间分类</w:t>
            </w:r>
          </w:p>
        </w:tc>
        <w:tc>
          <w:tcPr>
            <w:tcW w:w="875"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rsidR="0068001F" w:rsidRDefault="0068001F" w:rsidP="006D4A14">
            <w:pPr>
              <w:spacing w:line="240" w:lineRule="exact"/>
              <w:jc w:val="right"/>
              <w:rPr>
                <w:rFonts w:ascii="宋体" w:eastAsia="宋体" w:hAnsi="宋体" w:cs="宋体"/>
                <w:sz w:val="18"/>
                <w:szCs w:val="18"/>
              </w:rPr>
            </w:pPr>
          </w:p>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rPr>
                <w:rFonts w:ascii="宋体" w:eastAsia="宋体" w:hAnsi="宋体" w:cs="宋体"/>
                <w:sz w:val="18"/>
                <w:szCs w:val="18"/>
              </w:rPr>
            </w:pPr>
            <w:r>
              <w:rPr>
                <w:rFonts w:ascii="宋体" w:eastAsia="宋体" w:hAnsi="宋体" w:cs="宋体" w:hint="eastAsia"/>
                <w:sz w:val="18"/>
                <w:szCs w:val="18"/>
              </w:rPr>
              <w:lastRenderedPageBreak/>
              <w:t>其中：</w:t>
            </w:r>
          </w:p>
        </w:tc>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68001F" w:rsidRDefault="0068001F" w:rsidP="006D4A14"/>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rPr>
                <w:rFonts w:ascii="宋体" w:eastAsia="宋体" w:hAnsi="宋体" w:cs="宋体"/>
                <w:sz w:val="18"/>
                <w:szCs w:val="18"/>
              </w:rPr>
            </w:pPr>
            <w:r>
              <w:rPr>
                <w:rFonts w:ascii="宋体" w:eastAsia="宋体" w:hAnsi="宋体" w:cs="宋体" w:hint="eastAsia"/>
                <w:sz w:val="18"/>
                <w:szCs w:val="18"/>
              </w:rPr>
              <w:t>在某一时点确认收入</w:t>
            </w:r>
          </w:p>
        </w:tc>
        <w:tc>
          <w:tcPr>
            <w:tcW w:w="875"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3,460,118.76</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1,413,912.18</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256,201,254.53</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86,575,044.35</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127,158,897.63</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92,235,595.08</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9,468,341.60</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7,317,312.00</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396,288,612.52</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187,566,411.96</w:t>
            </w:r>
          </w:p>
        </w:tc>
      </w:tr>
      <w:tr w:rsidR="0068001F" w:rsidTr="006D4A14">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68001F" w:rsidRDefault="0068001F" w:rsidP="006D4A1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875"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3,460,118.76</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1,413,912.18</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256,201,254.53</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86,575,044.35</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127,158,897.63</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92,235,595.08</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9,468,341.60</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7,317,312.00</w:t>
            </w:r>
          </w:p>
        </w:tc>
        <w:tc>
          <w:tcPr>
            <w:tcW w:w="876"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396,288,612.52</w:t>
            </w:r>
          </w:p>
        </w:tc>
        <w:tc>
          <w:tcPr>
            <w:tcW w:w="877" w:type="dxa"/>
            <w:tcBorders>
              <w:top w:val="single" w:sz="2" w:space="0" w:color="auto"/>
              <w:left w:val="single" w:sz="2" w:space="0" w:color="auto"/>
              <w:bottom w:val="single" w:sz="2" w:space="0" w:color="auto"/>
              <w:right w:val="single" w:sz="2" w:space="0" w:color="auto"/>
            </w:tcBorders>
            <w:vAlign w:val="center"/>
            <w:hideMark/>
          </w:tcPr>
          <w:p w:rsidR="0068001F" w:rsidRDefault="0068001F" w:rsidP="006D4A14">
            <w:pPr>
              <w:spacing w:line="240" w:lineRule="exact"/>
              <w:jc w:val="right"/>
              <w:rPr>
                <w:rFonts w:ascii="宋体" w:eastAsia="宋体" w:hAnsi="宋体" w:cs="宋体"/>
                <w:sz w:val="18"/>
                <w:szCs w:val="18"/>
              </w:rPr>
            </w:pPr>
            <w:r>
              <w:rPr>
                <w:rFonts w:ascii="宋体" w:eastAsia="宋体" w:hAnsi="宋体" w:cs="宋体" w:hint="eastAsia"/>
                <w:sz w:val="18"/>
                <w:szCs w:val="18"/>
              </w:rPr>
              <w:t>187,566,411.96</w:t>
            </w:r>
          </w:p>
        </w:tc>
      </w:tr>
    </w:tbl>
    <w:p w:rsidR="00A27D66" w:rsidRDefault="00A2119D">
      <w:pPr>
        <w:pStyle w:val="3"/>
        <w:spacing w:line="280" w:lineRule="exact"/>
        <w:jc w:val="left"/>
        <w:rPr>
          <w:rFonts w:ascii="宋体" w:hAnsi="宋体" w:cs="宋体"/>
          <w:b/>
          <w:bCs/>
        </w:rPr>
      </w:pPr>
      <w:r>
        <w:rPr>
          <w:rFonts w:ascii="宋体" w:hAnsi="宋体" w:cs="宋体"/>
          <w:b/>
          <w:bCs/>
        </w:rPr>
        <w:t>43、税金及附加</w:t>
      </w:r>
      <w:bookmarkEnd w:id="324"/>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1,525,016.62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1,598,716.26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653,753.53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685,312.12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618,285.45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618,269.19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160,082.36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119,542.36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6,420.00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7,855.00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221,245.50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199,234.34</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地方教育附加</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435,472.54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456,857.54</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3,620,276.00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3,685,786.81</w:t>
            </w:r>
          </w:p>
        </w:tc>
      </w:tr>
    </w:tbl>
    <w:p w:rsidR="00A27D66" w:rsidRDefault="00A2119D">
      <w:pPr>
        <w:pStyle w:val="3"/>
        <w:spacing w:line="280" w:lineRule="exact"/>
        <w:jc w:val="left"/>
        <w:rPr>
          <w:rFonts w:ascii="宋体" w:hAnsi="宋体" w:cs="宋体"/>
          <w:b/>
          <w:bCs/>
        </w:rPr>
      </w:pPr>
      <w:bookmarkStart w:id="325" w:name="_Toc989208"/>
      <w:r>
        <w:rPr>
          <w:rFonts w:ascii="宋体" w:hAnsi="宋体" w:cs="宋体"/>
          <w:b/>
          <w:bCs/>
        </w:rPr>
        <w:t>44、管理费用</w:t>
      </w:r>
      <w:bookmarkEnd w:id="325"/>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4C3A5E">
            <w:pPr>
              <w:spacing w:line="240" w:lineRule="exact"/>
              <w:jc w:val="right"/>
              <w:rPr>
                <w:rFonts w:ascii="宋体" w:eastAsia="宋体" w:hAnsi="宋体" w:cs="宋体"/>
                <w:sz w:val="18"/>
                <w:szCs w:val="18"/>
              </w:rPr>
            </w:pPr>
            <w:r w:rsidRPr="004C3A5E">
              <w:rPr>
                <w:rFonts w:ascii="宋体" w:eastAsia="宋体" w:hAnsi="宋体" w:cs="宋体"/>
                <w:sz w:val="18"/>
                <w:szCs w:val="18"/>
              </w:rPr>
              <w:t>34,124,754.73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35,235,274.25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股权激励费用</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-5,182,027.88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办公业务费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13,490,854.70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15,221,614.13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3,207,797.50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3,575,241.90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中介咨询费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3,524,538.26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3,700,227.98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1,240,152.98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1,437,650.17</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1,998,906.17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2,094,409.24</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证券费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404,943.86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301,615.09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4C3A5E">
            <w:pPr>
              <w:spacing w:line="240" w:lineRule="exact"/>
              <w:jc w:val="right"/>
              <w:rPr>
                <w:rFonts w:ascii="宋体" w:eastAsia="宋体" w:hAnsi="宋体" w:cs="宋体"/>
                <w:sz w:val="18"/>
                <w:szCs w:val="18"/>
              </w:rPr>
            </w:pPr>
            <w:r w:rsidRPr="004C3A5E">
              <w:rPr>
                <w:rFonts w:ascii="宋体" w:eastAsia="宋体" w:hAnsi="宋体" w:cs="宋体"/>
                <w:sz w:val="18"/>
                <w:szCs w:val="18"/>
              </w:rPr>
              <w:t>265,429.67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619,170.48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安全生产费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2,211,577.20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4C3A5E">
            <w:pPr>
              <w:spacing w:line="240" w:lineRule="exact"/>
              <w:jc w:val="right"/>
              <w:rPr>
                <w:rFonts w:ascii="宋体" w:eastAsia="宋体" w:hAnsi="宋体" w:cs="宋体"/>
                <w:sz w:val="18"/>
                <w:szCs w:val="18"/>
              </w:rPr>
            </w:pPr>
            <w:r w:rsidRPr="004C3A5E">
              <w:rPr>
                <w:rFonts w:ascii="宋体" w:eastAsia="宋体" w:hAnsi="宋体" w:cs="宋体"/>
                <w:sz w:val="18"/>
                <w:szCs w:val="18"/>
              </w:rPr>
              <w:t>60,468,955.07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57,003,175.36</w:t>
            </w:r>
          </w:p>
        </w:tc>
      </w:tr>
    </w:tbl>
    <w:p w:rsidR="00A27D66" w:rsidRDefault="00A2119D">
      <w:pPr>
        <w:pStyle w:val="3"/>
        <w:spacing w:line="280" w:lineRule="exact"/>
        <w:jc w:val="left"/>
        <w:rPr>
          <w:rFonts w:ascii="宋体" w:hAnsi="宋体" w:cs="宋体"/>
          <w:b/>
          <w:bCs/>
        </w:rPr>
      </w:pPr>
      <w:bookmarkStart w:id="326" w:name="_Toc989209"/>
      <w:r>
        <w:rPr>
          <w:rFonts w:ascii="宋体" w:hAnsi="宋体" w:cs="宋体"/>
          <w:b/>
          <w:bCs/>
        </w:rPr>
        <w:t>45、销售费用</w:t>
      </w:r>
      <w:bookmarkEnd w:id="326"/>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9,162,869.72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9,442,817.05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业务推广费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4,130,127.15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9,137,223.68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6,175,570.76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6,273,020.88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交通差旅费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1,635,776.83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1,792,758.53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727,094.39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826,063.31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709,366.84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571,813.09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498,185.22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75,705.62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23,038,990.91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28,119,402.16</w:t>
            </w:r>
          </w:p>
        </w:tc>
      </w:tr>
    </w:tbl>
    <w:p w:rsidR="00A27D66" w:rsidRDefault="00A2119D">
      <w:pPr>
        <w:pStyle w:val="3"/>
        <w:spacing w:line="280" w:lineRule="exact"/>
        <w:jc w:val="left"/>
        <w:rPr>
          <w:rFonts w:ascii="宋体" w:hAnsi="宋体" w:cs="宋体"/>
          <w:b/>
          <w:bCs/>
        </w:rPr>
      </w:pPr>
      <w:bookmarkStart w:id="327" w:name="_Toc989210"/>
      <w:r>
        <w:rPr>
          <w:rFonts w:ascii="宋体" w:hAnsi="宋体" w:cs="宋体"/>
          <w:b/>
          <w:bCs/>
        </w:rPr>
        <w:lastRenderedPageBreak/>
        <w:t>46、研发费用</w:t>
      </w:r>
      <w:bookmarkEnd w:id="327"/>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人员人工</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45,387,378.87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40,711,843.53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直接投入</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29,771,246.95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29,574,329.08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咨询服务费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7,087,348.69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13,178,688.93</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委托开发费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190,000.00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7,802,548.56</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7,423,040.70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1,695,087.88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1,284,796.89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专利维护费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365,457.32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440,880.00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试验检验费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95,630.15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1,049,365.94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226,125.00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技术服务费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11,320.75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1,924,115.24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1,357,461.92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95,082,549.45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94,494,116.95</w:t>
            </w:r>
          </w:p>
        </w:tc>
      </w:tr>
    </w:tbl>
    <w:p w:rsidR="00A27D66" w:rsidRDefault="00A2119D">
      <w:pPr>
        <w:pStyle w:val="3"/>
        <w:spacing w:line="280" w:lineRule="exact"/>
        <w:jc w:val="left"/>
        <w:rPr>
          <w:rFonts w:ascii="宋体" w:hAnsi="宋体" w:cs="宋体"/>
          <w:b/>
          <w:bCs/>
        </w:rPr>
      </w:pPr>
      <w:bookmarkStart w:id="328" w:name="_Toc989211"/>
      <w:r>
        <w:rPr>
          <w:rFonts w:ascii="宋体" w:hAnsi="宋体" w:cs="宋体"/>
          <w:b/>
          <w:bCs/>
        </w:rPr>
        <w:t>47、财务费用</w:t>
      </w:r>
      <w:bookmarkEnd w:id="328"/>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150,826.21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加：租赁负债利息费用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2,666,544.85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3,099,983.34</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68001F">
            <w:pPr>
              <w:spacing w:line="240" w:lineRule="exact"/>
              <w:jc w:val="right"/>
              <w:rPr>
                <w:rFonts w:ascii="宋体" w:eastAsia="宋体" w:hAnsi="宋体" w:cs="宋体"/>
                <w:sz w:val="18"/>
                <w:szCs w:val="18"/>
              </w:rPr>
            </w:pPr>
            <w:r>
              <w:rPr>
                <w:rFonts w:ascii="宋体" w:eastAsia="宋体" w:hAnsi="宋体" w:cs="宋体"/>
                <w:sz w:val="18"/>
                <w:szCs w:val="18"/>
              </w:rPr>
              <w:t>-</w:t>
            </w:r>
            <w:r w:rsidR="00A2119D">
              <w:rPr>
                <w:rFonts w:ascii="宋体" w:eastAsia="宋体" w:hAnsi="宋体" w:cs="宋体"/>
                <w:sz w:val="18"/>
                <w:szCs w:val="18"/>
              </w:rPr>
              <w:t>2,745,860.95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68001F">
            <w:pPr>
              <w:spacing w:line="240" w:lineRule="exact"/>
              <w:jc w:val="right"/>
              <w:rPr>
                <w:rFonts w:ascii="宋体" w:eastAsia="宋体" w:hAnsi="宋体" w:cs="宋体"/>
                <w:sz w:val="18"/>
                <w:szCs w:val="18"/>
              </w:rPr>
            </w:pPr>
            <w:r>
              <w:rPr>
                <w:rFonts w:ascii="宋体" w:eastAsia="宋体" w:hAnsi="宋体" w:cs="宋体"/>
                <w:sz w:val="18"/>
                <w:szCs w:val="18"/>
              </w:rPr>
              <w:t>-</w:t>
            </w:r>
            <w:r w:rsidR="00A2119D">
              <w:rPr>
                <w:rFonts w:ascii="宋体" w:eastAsia="宋体" w:hAnsi="宋体" w:cs="宋体"/>
                <w:sz w:val="18"/>
                <w:szCs w:val="18"/>
              </w:rPr>
              <w:t>2,292,400.51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-3,944.53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-5,425.99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手续费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31,977.78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44,538.34</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现金折扣</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30,960.00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合伙企业其他方净资产变动</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-172,385.54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-320,023.57</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-41,882.18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526,671.61</w:t>
            </w:r>
          </w:p>
        </w:tc>
      </w:tr>
    </w:tbl>
    <w:p w:rsidR="00A27D66" w:rsidRDefault="00A2119D">
      <w:pPr>
        <w:pStyle w:val="3"/>
        <w:spacing w:line="280" w:lineRule="exact"/>
        <w:jc w:val="left"/>
        <w:rPr>
          <w:rFonts w:ascii="宋体" w:hAnsi="宋体" w:cs="宋体"/>
          <w:b/>
          <w:bCs/>
        </w:rPr>
      </w:pPr>
      <w:bookmarkStart w:id="329" w:name="_Toc989212"/>
      <w:r>
        <w:rPr>
          <w:rFonts w:ascii="宋体" w:hAnsi="宋体" w:cs="宋体"/>
          <w:b/>
          <w:bCs/>
        </w:rPr>
        <w:t>48、其他收益</w:t>
      </w:r>
      <w:bookmarkEnd w:id="329"/>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一、计入其他收益的政府补助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12,438,409.20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5,374,285.22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其中：</w:t>
            </w:r>
            <w:proofErr w:type="gramStart"/>
            <w:r>
              <w:rPr>
                <w:rFonts w:ascii="宋体" w:eastAsia="宋体" w:hAnsi="宋体" w:cs="宋体"/>
                <w:sz w:val="18"/>
                <w:szCs w:val="18"/>
              </w:rPr>
              <w:t>与递延</w:t>
            </w:r>
            <w:proofErr w:type="gramEnd"/>
            <w:r>
              <w:rPr>
                <w:rFonts w:ascii="宋体" w:eastAsia="宋体" w:hAnsi="宋体" w:cs="宋体"/>
                <w:sz w:val="18"/>
                <w:szCs w:val="18"/>
              </w:rPr>
              <w:t>收益相关的政府补助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2,180,585.32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1,338,982.37</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直接计入当期损益的政府补助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10,257,823.88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4,035,302.85</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二、其他与日常活动相关且计入其他收益的项目</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152,881.77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262,653.51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其中：个税扣缴税款手续费</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152,881.77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262,653.51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12,591,290.97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5,636,938.73</w:t>
            </w:r>
          </w:p>
        </w:tc>
      </w:tr>
    </w:tbl>
    <w:p w:rsidR="00A27D66" w:rsidRDefault="00A2119D">
      <w:pPr>
        <w:pStyle w:val="3"/>
        <w:spacing w:line="280" w:lineRule="exact"/>
        <w:jc w:val="left"/>
        <w:rPr>
          <w:rFonts w:ascii="宋体" w:hAnsi="宋体" w:cs="宋体"/>
          <w:b/>
          <w:bCs/>
        </w:rPr>
      </w:pPr>
      <w:bookmarkStart w:id="330" w:name="_Toc989213"/>
      <w:r>
        <w:rPr>
          <w:rFonts w:ascii="宋体" w:hAnsi="宋体" w:cs="宋体"/>
          <w:b/>
          <w:bCs/>
        </w:rPr>
        <w:t>49、公允价值变动收益</w:t>
      </w:r>
      <w:bookmarkEnd w:id="330"/>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4,169,088.25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-85,685.81</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4,169,088.25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-85,685.81</w:t>
            </w:r>
          </w:p>
        </w:tc>
      </w:tr>
    </w:tbl>
    <w:p w:rsidR="00A27D66" w:rsidRDefault="00A2119D">
      <w:pPr>
        <w:pStyle w:val="3"/>
        <w:spacing w:line="280" w:lineRule="exact"/>
        <w:jc w:val="left"/>
        <w:rPr>
          <w:rFonts w:ascii="宋体" w:hAnsi="宋体" w:cs="宋体"/>
          <w:b/>
          <w:bCs/>
        </w:rPr>
      </w:pPr>
      <w:bookmarkStart w:id="331" w:name="_Toc989214"/>
      <w:r>
        <w:rPr>
          <w:rFonts w:ascii="宋体" w:hAnsi="宋体" w:cs="宋体"/>
          <w:b/>
          <w:bCs/>
        </w:rPr>
        <w:lastRenderedPageBreak/>
        <w:t>50、投资收益</w:t>
      </w:r>
      <w:bookmarkEnd w:id="331"/>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C916D1">
            <w:pPr>
              <w:spacing w:line="240" w:lineRule="exact"/>
              <w:jc w:val="right"/>
              <w:rPr>
                <w:rFonts w:ascii="宋体" w:eastAsia="宋体" w:hAnsi="宋体" w:cs="宋体"/>
                <w:sz w:val="18"/>
                <w:szCs w:val="18"/>
              </w:rPr>
            </w:pPr>
            <w:r w:rsidRPr="00C916D1">
              <w:rPr>
                <w:rFonts w:ascii="宋体" w:eastAsia="宋体" w:hAnsi="宋体" w:cs="宋体"/>
                <w:sz w:val="18"/>
                <w:szCs w:val="18"/>
              </w:rPr>
              <w:t>-15,284,227.93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686,085.72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84,120.05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953733">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953733" w:rsidRDefault="00953733" w:rsidP="00953733">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sidRPr="00B0620F">
              <w:rPr>
                <w:rFonts w:ascii="宋体" w:eastAsia="宋体" w:hAnsi="宋体" w:cs="宋体"/>
                <w:sz w:val="18"/>
                <w:szCs w:val="18"/>
              </w:rPr>
              <w:t>2,542,753.02</w:t>
            </w:r>
          </w:p>
        </w:tc>
        <w:tc>
          <w:tcPr>
            <w:tcW w:w="3213" w:type="dxa"/>
            <w:tcBorders>
              <w:top w:val="single" w:sz="2" w:space="0" w:color="auto"/>
              <w:left w:val="single" w:sz="2" w:space="0" w:color="auto"/>
              <w:bottom w:val="single" w:sz="2" w:space="0" w:color="auto"/>
              <w:right w:val="single" w:sz="2" w:space="0" w:color="auto"/>
            </w:tcBorders>
            <w:vAlign w:val="center"/>
          </w:tcPr>
          <w:p w:rsidR="00953733" w:rsidRDefault="00953733" w:rsidP="00953733">
            <w:pPr>
              <w:spacing w:line="240" w:lineRule="exact"/>
              <w:jc w:val="right"/>
              <w:rPr>
                <w:rFonts w:ascii="宋体" w:eastAsia="宋体" w:hAnsi="宋体" w:cs="宋体"/>
                <w:sz w:val="18"/>
                <w:szCs w:val="18"/>
              </w:rPr>
            </w:pPr>
            <w:r w:rsidRPr="00B0620F">
              <w:rPr>
                <w:rFonts w:ascii="宋体" w:eastAsia="宋体" w:hAnsi="宋体" w:cs="宋体"/>
                <w:sz w:val="18"/>
                <w:szCs w:val="18"/>
              </w:rPr>
              <w:t>6,827,929.48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19,515.88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5,223.86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C916D1">
            <w:pPr>
              <w:spacing w:line="240" w:lineRule="exact"/>
              <w:jc w:val="right"/>
              <w:rPr>
                <w:rFonts w:ascii="宋体" w:eastAsia="宋体" w:hAnsi="宋体" w:cs="宋体"/>
                <w:sz w:val="18"/>
                <w:szCs w:val="18"/>
              </w:rPr>
            </w:pPr>
            <w:r w:rsidRPr="00C916D1">
              <w:rPr>
                <w:rFonts w:ascii="宋体" w:eastAsia="宋体" w:hAnsi="宋体" w:cs="宋体"/>
                <w:sz w:val="18"/>
                <w:szCs w:val="18"/>
              </w:rPr>
              <w:t>-12,637,838.98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7,519,239.06</w:t>
            </w:r>
          </w:p>
        </w:tc>
      </w:tr>
    </w:tbl>
    <w:p w:rsidR="00A27D66" w:rsidRDefault="00A2119D">
      <w:pPr>
        <w:pStyle w:val="3"/>
        <w:spacing w:line="280" w:lineRule="exact"/>
        <w:jc w:val="left"/>
        <w:rPr>
          <w:rFonts w:ascii="宋体" w:hAnsi="宋体" w:cs="宋体"/>
          <w:b/>
          <w:bCs/>
        </w:rPr>
      </w:pPr>
      <w:bookmarkStart w:id="332" w:name="_Toc989215"/>
      <w:r>
        <w:rPr>
          <w:rFonts w:ascii="宋体" w:hAnsi="宋体" w:cs="宋体"/>
          <w:b/>
          <w:bCs/>
        </w:rPr>
        <w:t>51、信用减值损失</w:t>
      </w:r>
      <w:bookmarkEnd w:id="332"/>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应收票据坏账损失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-3,704,855.39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2,245,782.98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C916D1">
            <w:pPr>
              <w:spacing w:line="240" w:lineRule="exact"/>
              <w:jc w:val="right"/>
              <w:rPr>
                <w:rFonts w:ascii="宋体" w:eastAsia="宋体" w:hAnsi="宋体" w:cs="宋体"/>
                <w:sz w:val="18"/>
                <w:szCs w:val="18"/>
              </w:rPr>
            </w:pPr>
            <w:r w:rsidRPr="00C916D1">
              <w:rPr>
                <w:rFonts w:ascii="宋体" w:eastAsia="宋体" w:hAnsi="宋体" w:cs="宋体"/>
                <w:sz w:val="18"/>
                <w:szCs w:val="18"/>
              </w:rPr>
              <w:t>-7,936,198.02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-3,497,808.36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15,465.03</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-42,826.32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C916D1">
            <w:pPr>
              <w:spacing w:line="240" w:lineRule="exact"/>
              <w:jc w:val="right"/>
              <w:rPr>
                <w:rFonts w:ascii="宋体" w:eastAsia="宋体" w:hAnsi="宋体" w:cs="宋体"/>
                <w:sz w:val="18"/>
                <w:szCs w:val="18"/>
              </w:rPr>
            </w:pPr>
            <w:r w:rsidRPr="00C916D1">
              <w:rPr>
                <w:rFonts w:ascii="宋体" w:eastAsia="宋体" w:hAnsi="宋体" w:cs="宋体"/>
                <w:sz w:val="18"/>
                <w:szCs w:val="18"/>
              </w:rPr>
              <w:t>-11,625,588.38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-1,294,851.70</w:t>
            </w:r>
          </w:p>
        </w:tc>
      </w:tr>
    </w:tbl>
    <w:p w:rsidR="00A27D66" w:rsidRDefault="00A2119D">
      <w:pPr>
        <w:pStyle w:val="3"/>
        <w:spacing w:line="280" w:lineRule="exact"/>
        <w:jc w:val="left"/>
        <w:rPr>
          <w:rFonts w:ascii="宋体" w:hAnsi="宋体" w:cs="宋体"/>
          <w:b/>
          <w:bCs/>
        </w:rPr>
      </w:pPr>
      <w:bookmarkStart w:id="333" w:name="_Toc989216"/>
      <w:r>
        <w:rPr>
          <w:rFonts w:ascii="宋体" w:hAnsi="宋体" w:cs="宋体"/>
          <w:b/>
          <w:bCs/>
        </w:rPr>
        <w:t>52、资产减值损失</w:t>
      </w:r>
      <w:bookmarkEnd w:id="333"/>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一、存货跌价损失及合同履约成本减值损失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C916D1">
            <w:pPr>
              <w:spacing w:line="240" w:lineRule="exact"/>
              <w:jc w:val="right"/>
              <w:rPr>
                <w:rFonts w:ascii="宋体" w:eastAsia="宋体" w:hAnsi="宋体" w:cs="宋体"/>
                <w:sz w:val="18"/>
                <w:szCs w:val="18"/>
              </w:rPr>
            </w:pPr>
            <w:r w:rsidRPr="00C916D1">
              <w:rPr>
                <w:rFonts w:ascii="宋体" w:eastAsia="宋体" w:hAnsi="宋体" w:cs="宋体"/>
                <w:sz w:val="18"/>
                <w:szCs w:val="18"/>
              </w:rPr>
              <w:t>-1,253,386.55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-29,023.96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四、固定资产减值损失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-275,234.77</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十、商誉减值损失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-256,260,525.68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十二、其他</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C916D1">
            <w:pPr>
              <w:spacing w:line="240" w:lineRule="exact"/>
              <w:jc w:val="right"/>
              <w:rPr>
                <w:rFonts w:ascii="宋体" w:eastAsia="宋体" w:hAnsi="宋体" w:cs="宋体"/>
                <w:sz w:val="18"/>
                <w:szCs w:val="18"/>
              </w:rPr>
            </w:pPr>
            <w:r w:rsidRPr="00C916D1">
              <w:rPr>
                <w:rFonts w:ascii="宋体" w:eastAsia="宋体" w:hAnsi="宋体" w:cs="宋体"/>
                <w:sz w:val="18"/>
                <w:szCs w:val="18"/>
              </w:rPr>
              <w:t>-1,253,386.55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-256,564,784.41</w:t>
            </w:r>
          </w:p>
        </w:tc>
      </w:tr>
    </w:tbl>
    <w:p w:rsidR="00A27D66" w:rsidRDefault="00A2119D">
      <w:pPr>
        <w:pStyle w:val="3"/>
        <w:spacing w:line="280" w:lineRule="exact"/>
        <w:jc w:val="left"/>
        <w:rPr>
          <w:rFonts w:ascii="宋体" w:hAnsi="宋体" w:cs="宋体"/>
          <w:b/>
          <w:bCs/>
        </w:rPr>
      </w:pPr>
      <w:bookmarkStart w:id="334" w:name="_Toc989217"/>
      <w:r>
        <w:rPr>
          <w:rFonts w:ascii="宋体" w:hAnsi="宋体" w:cs="宋体"/>
          <w:b/>
          <w:bCs/>
        </w:rPr>
        <w:t>53、资产处置收益</w:t>
      </w:r>
      <w:bookmarkEnd w:id="334"/>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处置未划分为持有待售的固定资产、在建工程、生产性生物资产及无形资产的处置利得或损失</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82,857.82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-50,137.40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其中：固定资产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82,857.82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-50,137.40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82,857.82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-50,137.40</w:t>
            </w:r>
          </w:p>
        </w:tc>
      </w:tr>
    </w:tbl>
    <w:p w:rsidR="00A27D66" w:rsidRDefault="00A2119D">
      <w:pPr>
        <w:pStyle w:val="3"/>
        <w:spacing w:line="280" w:lineRule="exact"/>
        <w:jc w:val="left"/>
        <w:rPr>
          <w:rFonts w:ascii="宋体" w:hAnsi="宋体" w:cs="宋体"/>
          <w:b/>
          <w:bCs/>
        </w:rPr>
      </w:pPr>
      <w:bookmarkStart w:id="335" w:name="_Toc989218"/>
      <w:r>
        <w:rPr>
          <w:rFonts w:ascii="宋体" w:hAnsi="宋体" w:cs="宋体"/>
          <w:b/>
          <w:bCs/>
        </w:rPr>
        <w:t>54、营业外收入</w:t>
      </w:r>
      <w:bookmarkEnd w:id="335"/>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2,312,616.85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固定资产报废利得</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470.00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lastRenderedPageBreak/>
              <w:t>赔偿款</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18,262,870.46</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284,090.41</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8,859.84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284,090.41</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处置专项储备金</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1,463,894.95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1,463,894.95</w:t>
            </w:r>
          </w:p>
        </w:tc>
      </w:tr>
      <w:tr w:rsidR="00A27D66">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1,747,985.36</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20,584,817.15</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1,747,985.36</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A2119D" w:rsidRDefault="00A2119D" w:rsidP="00EE7881">
      <w:pPr>
        <w:pStyle w:val="a3"/>
        <w:spacing w:before="0" w:beforeAutospacing="0" w:after="0" w:afterAutospacing="0" w:line="480" w:lineRule="auto"/>
        <w:ind w:firstLine="420"/>
        <w:jc w:val="both"/>
        <w:divId w:val="1742755336"/>
        <w:rPr>
          <w:rFonts w:ascii="Times New Roman" w:hAnsi="Times New Roman" w:cs="Times New Roman"/>
          <w:sz w:val="21"/>
          <w:szCs w:val="21"/>
        </w:rPr>
      </w:pPr>
      <w:r>
        <w:rPr>
          <w:rFonts w:ascii="Times New Roman" w:hAnsi="Times New Roman" w:cs="Times New Roman"/>
          <w:sz w:val="21"/>
          <w:szCs w:val="21"/>
        </w:rPr>
        <w:t>计入当期损益的政府补助的具体信息，详见</w:t>
      </w:r>
      <w:r w:rsidRPr="00EE7881">
        <w:rPr>
          <w:rFonts w:ascii="Times New Roman" w:hAnsi="Times New Roman" w:cs="Times New Roman"/>
          <w:sz w:val="21"/>
          <w:szCs w:val="21"/>
        </w:rPr>
        <w:t>附注十一、政府补助。</w:t>
      </w:r>
    </w:p>
    <w:p w:rsidR="00A27D66" w:rsidRDefault="00A2119D">
      <w:pPr>
        <w:pStyle w:val="3"/>
        <w:spacing w:line="280" w:lineRule="exact"/>
        <w:jc w:val="left"/>
        <w:rPr>
          <w:rFonts w:ascii="宋体" w:hAnsi="宋体" w:cs="宋体"/>
          <w:b/>
          <w:bCs/>
        </w:rPr>
      </w:pPr>
      <w:bookmarkStart w:id="336" w:name="_Toc989219"/>
      <w:r>
        <w:rPr>
          <w:rFonts w:ascii="宋体" w:hAnsi="宋体" w:cs="宋体"/>
          <w:b/>
          <w:bCs/>
        </w:rPr>
        <w:t>55、营业外支出</w:t>
      </w:r>
      <w:bookmarkEnd w:id="336"/>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rsidTr="004F7F62">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4F7F62" w:rsidTr="004F7F62">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4F7F62" w:rsidRDefault="004F7F62" w:rsidP="004F7F62">
            <w:pPr>
              <w:spacing w:before="40" w:after="40" w:line="240" w:lineRule="exac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sidRPr="00D17413">
              <w:rPr>
                <w:rFonts w:ascii="宋体" w:eastAsia="宋体" w:hAnsi="宋体" w:cs="宋体"/>
                <w:sz w:val="18"/>
                <w:szCs w:val="18"/>
              </w:rPr>
              <w:t>51,099.90</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Pr>
                <w:rFonts w:ascii="宋体" w:eastAsia="宋体" w:hAnsi="宋体" w:cs="宋体"/>
                <w:sz w:val="18"/>
                <w:szCs w:val="18"/>
              </w:rPr>
              <w:t>51,182.80</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sidRPr="00D17413">
              <w:rPr>
                <w:rFonts w:ascii="宋体" w:eastAsia="宋体" w:hAnsi="宋体" w:cs="宋体"/>
                <w:sz w:val="18"/>
                <w:szCs w:val="18"/>
              </w:rPr>
              <w:t>51,099.90</w:t>
            </w:r>
          </w:p>
        </w:tc>
      </w:tr>
      <w:tr w:rsidR="004F7F62" w:rsidTr="004F7F62">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rPr>
                <w:rFonts w:ascii="宋体" w:eastAsia="宋体" w:hAnsi="宋体" w:cs="宋体"/>
                <w:sz w:val="18"/>
                <w:szCs w:val="18"/>
              </w:rPr>
            </w:pPr>
            <w:r>
              <w:rPr>
                <w:rFonts w:ascii="宋体" w:eastAsia="宋体" w:hAnsi="宋体" w:cs="宋体"/>
                <w:sz w:val="18"/>
                <w:szCs w:val="18"/>
              </w:rPr>
              <w:t>固定资产报废损失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Pr>
                <w:rFonts w:ascii="宋体" w:eastAsia="宋体" w:hAnsi="宋体" w:cs="宋体"/>
                <w:sz w:val="18"/>
                <w:szCs w:val="18"/>
              </w:rPr>
              <w:t>1,043,089.25</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Pr>
                <w:rFonts w:ascii="宋体" w:eastAsia="宋体" w:hAnsi="宋体" w:cs="宋体"/>
                <w:sz w:val="18"/>
                <w:szCs w:val="18"/>
              </w:rPr>
              <w:t>160,683.08</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Pr>
                <w:rFonts w:ascii="宋体" w:eastAsia="宋体" w:hAnsi="宋体" w:cs="宋体"/>
                <w:sz w:val="18"/>
                <w:szCs w:val="18"/>
              </w:rPr>
              <w:t>1,043,089.25</w:t>
            </w:r>
          </w:p>
        </w:tc>
      </w:tr>
      <w:tr w:rsidR="004F7F62" w:rsidTr="004F7F62">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rPr>
                <w:rFonts w:ascii="宋体" w:eastAsia="宋体" w:hAnsi="宋体" w:cs="宋体"/>
                <w:sz w:val="18"/>
                <w:szCs w:val="18"/>
              </w:rPr>
            </w:pPr>
            <w:r>
              <w:rPr>
                <w:rFonts w:ascii="宋体" w:eastAsia="宋体" w:hAnsi="宋体" w:cs="宋体"/>
                <w:sz w:val="18"/>
                <w:szCs w:val="18"/>
              </w:rPr>
              <w:t>赔偿款</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sidRPr="00D17413">
              <w:rPr>
                <w:rFonts w:ascii="宋体" w:eastAsia="宋体" w:hAnsi="宋体" w:cs="宋体"/>
                <w:sz w:val="18"/>
                <w:szCs w:val="18"/>
              </w:rPr>
              <w:t>414,364.95</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Pr>
                <w:rFonts w:ascii="宋体" w:eastAsia="宋体" w:hAnsi="宋体" w:cs="宋体"/>
                <w:sz w:val="18"/>
                <w:szCs w:val="18"/>
              </w:rPr>
              <w:t>3,801,133.32</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sidRPr="00D17413">
              <w:rPr>
                <w:rFonts w:ascii="宋体" w:eastAsia="宋体" w:hAnsi="宋体" w:cs="宋体"/>
                <w:sz w:val="18"/>
                <w:szCs w:val="18"/>
              </w:rPr>
              <w:t>414,364.95</w:t>
            </w:r>
          </w:p>
        </w:tc>
      </w:tr>
      <w:tr w:rsidR="004F7F62" w:rsidTr="004F7F62">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rPr>
                <w:rFonts w:ascii="宋体" w:eastAsia="宋体" w:hAnsi="宋体" w:cs="宋体"/>
                <w:sz w:val="18"/>
                <w:szCs w:val="18"/>
              </w:rPr>
            </w:pPr>
            <w:r>
              <w:rPr>
                <w:rFonts w:ascii="宋体" w:eastAsia="宋体" w:hAnsi="宋体" w:cs="宋体"/>
                <w:sz w:val="18"/>
                <w:szCs w:val="18"/>
              </w:rPr>
              <w:t>缴纳个税滞纳金</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Pr>
                <w:rFonts w:ascii="宋体" w:eastAsia="宋体" w:hAnsi="宋体" w:cs="宋体"/>
                <w:sz w:val="18"/>
                <w:szCs w:val="18"/>
              </w:rPr>
              <w:t>5.93</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p>
        </w:tc>
      </w:tr>
      <w:tr w:rsidR="004F7F62" w:rsidTr="004F7F62">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sidRPr="00D17413">
              <w:rPr>
                <w:rFonts w:ascii="宋体" w:eastAsia="宋体" w:hAnsi="宋体" w:cs="宋体"/>
                <w:sz w:val="18"/>
                <w:szCs w:val="18"/>
              </w:rPr>
              <w:t>250,653.26</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sidRPr="00D17413">
              <w:rPr>
                <w:rFonts w:ascii="宋体" w:eastAsia="宋体" w:hAnsi="宋体" w:cs="宋体"/>
                <w:sz w:val="18"/>
                <w:szCs w:val="18"/>
              </w:rPr>
              <w:t>250,653.26</w:t>
            </w:r>
          </w:p>
        </w:tc>
      </w:tr>
      <w:tr w:rsidR="004F7F62" w:rsidTr="004F7F62">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4F7F62" w:rsidRDefault="004F7F62" w:rsidP="004F7F62">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Pr>
                <w:rFonts w:ascii="宋体" w:eastAsia="宋体" w:hAnsi="宋体" w:cs="宋体"/>
                <w:sz w:val="18"/>
                <w:szCs w:val="18"/>
              </w:rPr>
              <w:t>1,759,207.36</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Pr>
                <w:rFonts w:ascii="宋体" w:eastAsia="宋体" w:hAnsi="宋体" w:cs="宋体"/>
                <w:sz w:val="18"/>
                <w:szCs w:val="18"/>
              </w:rPr>
              <w:t>4,013,005.13</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Pr>
                <w:rFonts w:ascii="宋体" w:eastAsia="宋体" w:hAnsi="宋体" w:cs="宋体"/>
                <w:sz w:val="18"/>
                <w:szCs w:val="18"/>
              </w:rPr>
              <w:t>1,759,207.36</w:t>
            </w:r>
          </w:p>
        </w:tc>
      </w:tr>
    </w:tbl>
    <w:p w:rsidR="00A27D66" w:rsidRDefault="00A2119D">
      <w:pPr>
        <w:pStyle w:val="3"/>
        <w:spacing w:line="280" w:lineRule="exact"/>
        <w:jc w:val="left"/>
        <w:rPr>
          <w:rFonts w:ascii="宋体" w:hAnsi="宋体" w:cs="宋体"/>
          <w:b/>
          <w:bCs/>
        </w:rPr>
      </w:pPr>
      <w:bookmarkStart w:id="337" w:name="_Toc989220"/>
      <w:r>
        <w:rPr>
          <w:rFonts w:ascii="宋体" w:hAnsi="宋体" w:cs="宋体"/>
          <w:b/>
          <w:bCs/>
        </w:rPr>
        <w:t>56、所得税费用</w:t>
      </w:r>
      <w:bookmarkEnd w:id="337"/>
    </w:p>
    <w:p w:rsidR="00A27D66" w:rsidRDefault="00A2119D">
      <w:pPr>
        <w:keepNext/>
        <w:keepLines/>
        <w:spacing w:before="300" w:after="300" w:line="280" w:lineRule="exact"/>
        <w:outlineLvl w:val="3"/>
        <w:rPr>
          <w:rFonts w:ascii="宋体" w:eastAsia="宋体" w:hAnsi="宋体" w:cs="宋体"/>
          <w:b/>
          <w:bCs/>
          <w:szCs w:val="21"/>
        </w:rPr>
      </w:pPr>
      <w:bookmarkStart w:id="338" w:name="_Toc989221"/>
      <w:r>
        <w:rPr>
          <w:rFonts w:ascii="宋体" w:eastAsia="宋体" w:hAnsi="宋体" w:cs="宋体"/>
          <w:b/>
          <w:bCs/>
          <w:szCs w:val="21"/>
        </w:rPr>
        <w:t>（1） 所得税费用表</w:t>
      </w:r>
      <w:bookmarkEnd w:id="338"/>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2,161,422.71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1,033,162.82</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-1,448,209.32</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-3,130,422.34</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713,213.39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-2,097,259.52</w:t>
            </w:r>
          </w:p>
        </w:tc>
      </w:tr>
    </w:tbl>
    <w:p w:rsidR="00A27D66" w:rsidRDefault="00A2119D">
      <w:pPr>
        <w:keepNext/>
        <w:keepLines/>
        <w:spacing w:before="300" w:after="300" w:line="280" w:lineRule="exact"/>
        <w:outlineLvl w:val="3"/>
        <w:rPr>
          <w:rFonts w:ascii="宋体" w:eastAsia="宋体" w:hAnsi="宋体" w:cs="宋体"/>
          <w:b/>
          <w:bCs/>
          <w:szCs w:val="21"/>
        </w:rPr>
      </w:pPr>
      <w:bookmarkStart w:id="339" w:name="_Toc989222"/>
      <w:r>
        <w:rPr>
          <w:rFonts w:ascii="宋体" w:eastAsia="宋体" w:hAnsi="宋体" w:cs="宋体"/>
          <w:b/>
          <w:bCs/>
          <w:szCs w:val="21"/>
        </w:rPr>
        <w:t>（2） 会计利润与所得税费用调整过程</w:t>
      </w:r>
      <w:bookmarkEnd w:id="339"/>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197834">
            <w:pPr>
              <w:spacing w:line="240" w:lineRule="exact"/>
              <w:jc w:val="right"/>
              <w:rPr>
                <w:rFonts w:ascii="宋体" w:eastAsia="宋体" w:hAnsi="宋体" w:cs="宋体"/>
                <w:sz w:val="18"/>
                <w:szCs w:val="18"/>
              </w:rPr>
            </w:pPr>
            <w:r w:rsidRPr="00197834">
              <w:rPr>
                <w:rFonts w:ascii="宋体" w:eastAsia="宋体" w:hAnsi="宋体" w:cs="宋体"/>
                <w:sz w:val="18"/>
                <w:szCs w:val="18"/>
              </w:rPr>
              <w:t>17,868,512.44</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197834">
            <w:pPr>
              <w:spacing w:line="240" w:lineRule="exact"/>
              <w:jc w:val="right"/>
              <w:rPr>
                <w:rFonts w:ascii="宋体" w:eastAsia="宋体" w:hAnsi="宋体" w:cs="宋体"/>
                <w:sz w:val="18"/>
                <w:szCs w:val="18"/>
              </w:rPr>
            </w:pPr>
            <w:r w:rsidRPr="00197834">
              <w:rPr>
                <w:rFonts w:ascii="宋体" w:eastAsia="宋体" w:hAnsi="宋体" w:cs="宋体"/>
                <w:sz w:val="18"/>
                <w:szCs w:val="18"/>
              </w:rPr>
              <w:t>4,541,251.06</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197834">
            <w:pPr>
              <w:spacing w:line="240" w:lineRule="exact"/>
              <w:jc w:val="right"/>
              <w:rPr>
                <w:rFonts w:ascii="宋体" w:eastAsia="宋体" w:hAnsi="宋体" w:cs="宋体"/>
                <w:sz w:val="18"/>
                <w:szCs w:val="18"/>
              </w:rPr>
            </w:pPr>
            <w:r w:rsidRPr="00197834">
              <w:rPr>
                <w:rFonts w:ascii="宋体" w:eastAsia="宋体" w:hAnsi="宋体" w:cs="宋体"/>
                <w:sz w:val="18"/>
                <w:szCs w:val="18"/>
              </w:rPr>
              <w:t>-4,791,136.33</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243,762.71</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非应税收入的影响</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-127,989.42</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197834">
            <w:pPr>
              <w:spacing w:line="240" w:lineRule="exact"/>
              <w:jc w:val="right"/>
              <w:rPr>
                <w:rFonts w:ascii="宋体" w:eastAsia="宋体" w:hAnsi="宋体" w:cs="宋体"/>
                <w:sz w:val="18"/>
                <w:szCs w:val="18"/>
              </w:rPr>
            </w:pPr>
            <w:r w:rsidRPr="00197834">
              <w:rPr>
                <w:rFonts w:ascii="宋体" w:eastAsia="宋体" w:hAnsi="宋体" w:cs="宋体"/>
                <w:sz w:val="18"/>
                <w:szCs w:val="18"/>
              </w:rPr>
              <w:t>7,255,953.56</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本期未</w:t>
            </w:r>
            <w:proofErr w:type="gramEnd"/>
            <w:r>
              <w:rPr>
                <w:rFonts w:ascii="宋体" w:eastAsia="宋体" w:hAnsi="宋体" w:cs="宋体"/>
                <w:sz w:val="18"/>
                <w:szCs w:val="18"/>
              </w:rPr>
              <w:t>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197834">
            <w:pPr>
              <w:spacing w:line="240" w:lineRule="exact"/>
              <w:jc w:val="right"/>
              <w:rPr>
                <w:rFonts w:ascii="宋体" w:eastAsia="宋体" w:hAnsi="宋体" w:cs="宋体"/>
                <w:sz w:val="18"/>
                <w:szCs w:val="18"/>
              </w:rPr>
            </w:pPr>
            <w:r w:rsidRPr="00197834">
              <w:rPr>
                <w:rFonts w:ascii="宋体" w:eastAsia="宋体" w:hAnsi="宋体" w:cs="宋体"/>
                <w:sz w:val="18"/>
                <w:szCs w:val="18"/>
              </w:rPr>
              <w:t>3,404,947.26</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加计扣除费用的影响</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-9,813,575.45</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713,213.39</w:t>
            </w:r>
          </w:p>
        </w:tc>
      </w:tr>
    </w:tbl>
    <w:p w:rsidR="00A27D66" w:rsidRDefault="00A2119D">
      <w:pPr>
        <w:pStyle w:val="3"/>
        <w:spacing w:line="280" w:lineRule="exact"/>
        <w:jc w:val="left"/>
        <w:rPr>
          <w:rFonts w:ascii="宋体" w:hAnsi="宋体" w:cs="宋体"/>
          <w:b/>
          <w:bCs/>
        </w:rPr>
      </w:pPr>
      <w:bookmarkStart w:id="340" w:name="_Toc989223"/>
      <w:r>
        <w:rPr>
          <w:rFonts w:ascii="宋体" w:hAnsi="宋体" w:cs="宋体"/>
          <w:b/>
          <w:bCs/>
        </w:rPr>
        <w:lastRenderedPageBreak/>
        <w:t>57、现金流量表项目</w:t>
      </w:r>
      <w:bookmarkEnd w:id="340"/>
    </w:p>
    <w:p w:rsidR="00A27D66" w:rsidRDefault="00A2119D">
      <w:pPr>
        <w:keepNext/>
        <w:keepLines/>
        <w:spacing w:before="300" w:after="300" w:line="280" w:lineRule="exact"/>
        <w:outlineLvl w:val="3"/>
        <w:rPr>
          <w:rFonts w:ascii="宋体" w:eastAsia="宋体" w:hAnsi="宋体" w:cs="宋体"/>
          <w:b/>
          <w:bCs/>
          <w:szCs w:val="21"/>
        </w:rPr>
      </w:pPr>
      <w:bookmarkStart w:id="341" w:name="_Toc989224"/>
      <w:r>
        <w:rPr>
          <w:rFonts w:ascii="宋体" w:eastAsia="宋体" w:hAnsi="宋体" w:cs="宋体"/>
          <w:b/>
          <w:bCs/>
          <w:szCs w:val="21"/>
        </w:rPr>
        <w:t>（1） 与经营活动有关的现金</w:t>
      </w:r>
      <w:bookmarkEnd w:id="341"/>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收到的其他与经营活动有关的现金</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295,481.45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2,940.00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10,412,705.67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7,099,744.26</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存款利息</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6,921,555.87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2,947,219.89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子公司原股东承诺补偿款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17,419,034.84</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3,846,587.49</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879,164.88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21,476,330.48</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28,348,103.87</w:t>
            </w:r>
          </w:p>
        </w:tc>
      </w:tr>
    </w:tbl>
    <w:p w:rsidR="00A27D66" w:rsidRDefault="00A27D66"/>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支付的其他与经营活动有关的现金</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费用及备用金支出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3031AF">
            <w:pPr>
              <w:spacing w:line="240" w:lineRule="exact"/>
              <w:jc w:val="right"/>
              <w:rPr>
                <w:rFonts w:ascii="宋体" w:eastAsia="宋体" w:hAnsi="宋体" w:cs="宋体"/>
                <w:sz w:val="18"/>
                <w:szCs w:val="18"/>
              </w:rPr>
            </w:pPr>
            <w:r w:rsidRPr="003031AF">
              <w:rPr>
                <w:rFonts w:ascii="宋体" w:eastAsia="宋体" w:hAnsi="宋体" w:cs="宋体"/>
                <w:sz w:val="18"/>
                <w:szCs w:val="18"/>
              </w:rPr>
              <w:t>55,437,865.30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64,276,289.00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58,958.00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122,458.00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1,500,003.70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3,856,479.94</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捐赠支出</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577,209.14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51,182.80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3031AF">
            <w:pPr>
              <w:spacing w:line="240" w:lineRule="exact"/>
              <w:jc w:val="right"/>
              <w:rPr>
                <w:rFonts w:ascii="宋体" w:eastAsia="宋体" w:hAnsi="宋体" w:cs="宋体"/>
                <w:sz w:val="18"/>
                <w:szCs w:val="18"/>
              </w:rPr>
            </w:pPr>
            <w:r w:rsidRPr="003031AF">
              <w:rPr>
                <w:rFonts w:ascii="宋体" w:eastAsia="宋体" w:hAnsi="宋体" w:cs="宋体"/>
                <w:sz w:val="18"/>
                <w:szCs w:val="18"/>
              </w:rPr>
              <w:t>57,574,036.14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68,306,409.74</w:t>
            </w:r>
          </w:p>
        </w:tc>
      </w:tr>
    </w:tbl>
    <w:p w:rsidR="00A27D66" w:rsidRDefault="00A2119D">
      <w:pPr>
        <w:keepNext/>
        <w:keepLines/>
        <w:spacing w:before="300" w:after="300" w:line="280" w:lineRule="exact"/>
        <w:outlineLvl w:val="3"/>
        <w:rPr>
          <w:rFonts w:ascii="宋体" w:eastAsia="宋体" w:hAnsi="宋体" w:cs="宋体"/>
          <w:b/>
          <w:bCs/>
          <w:szCs w:val="21"/>
        </w:rPr>
      </w:pPr>
      <w:bookmarkStart w:id="342" w:name="_Toc989225"/>
      <w:r>
        <w:rPr>
          <w:rFonts w:ascii="宋体" w:eastAsia="宋体" w:hAnsi="宋体" w:cs="宋体"/>
          <w:b/>
          <w:bCs/>
          <w:szCs w:val="21"/>
        </w:rPr>
        <w:t>（2） 与投资活动有关的现金</w:t>
      </w:r>
      <w:bookmarkEnd w:id="342"/>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收到的其他与投资活动有关的现金</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收到融资租赁款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717,360.90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850,000.00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167,596.77</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717,360.90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1,017,596.77</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收到的重要的与投资活动有关的现金</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赎回理财产品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1,199,247,458.30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1,311,339,916.99</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1,199,247,458.30</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1,311,339,916.99</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支付的其他与投资活动有关的现金</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预付</w:t>
            </w:r>
            <w:proofErr w:type="gramStart"/>
            <w:r>
              <w:rPr>
                <w:rFonts w:ascii="宋体" w:eastAsia="宋体" w:hAnsi="宋体" w:cs="宋体"/>
                <w:sz w:val="18"/>
                <w:szCs w:val="18"/>
              </w:rPr>
              <w:t>并购款</w:t>
            </w:r>
            <w:proofErr w:type="gramEnd"/>
            <w:r>
              <w:rPr>
                <w:rFonts w:ascii="宋体" w:eastAsia="宋体" w:hAnsi="宋体" w:cs="宋体"/>
                <w:sz w:val="18"/>
                <w:szCs w:val="18"/>
              </w:rPr>
              <w:t>-北京聚能合源</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11,111,100.00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11,111,100.00</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支付的重要的与投资活动有关的现金</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购买理财产品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1,269,263,342.47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1,203,245,342.00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1,269,263,342.47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1,203,245,342.00</w:t>
            </w:r>
          </w:p>
        </w:tc>
      </w:tr>
    </w:tbl>
    <w:p w:rsidR="00A27D66" w:rsidRDefault="00A2119D">
      <w:pPr>
        <w:keepNext/>
        <w:keepLines/>
        <w:spacing w:before="300" w:after="300" w:line="280" w:lineRule="exact"/>
        <w:outlineLvl w:val="3"/>
        <w:rPr>
          <w:rFonts w:ascii="宋体" w:eastAsia="宋体" w:hAnsi="宋体" w:cs="宋体"/>
          <w:b/>
          <w:bCs/>
          <w:szCs w:val="21"/>
        </w:rPr>
      </w:pPr>
      <w:bookmarkStart w:id="343" w:name="_Toc989226"/>
      <w:r>
        <w:rPr>
          <w:rFonts w:ascii="宋体" w:eastAsia="宋体" w:hAnsi="宋体" w:cs="宋体"/>
          <w:b/>
          <w:bCs/>
          <w:szCs w:val="21"/>
        </w:rPr>
        <w:lastRenderedPageBreak/>
        <w:t>（3） 与筹资活动有关的现金</w:t>
      </w:r>
      <w:bookmarkEnd w:id="343"/>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支付的其他与筹资活动有关的现金</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股权激励回购款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1,157,823.70</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股票回购款</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35,672,421.34</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租赁负债的本金和利息</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7,034,437.87</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6,981,704.88</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42,706,859.21</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8,139,528.58</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筹资活动产生的各项负债变动情况</w:t>
      </w:r>
    </w:p>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A27D66">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A27D66">
        <w:trPr>
          <w:trHeight w:val="240"/>
        </w:trPr>
        <w:tc>
          <w:tcPr>
            <w:tcW w:w="1377" w:type="dxa"/>
            <w:vMerge/>
            <w:tcBorders>
              <w:top w:val="single" w:sz="2" w:space="0" w:color="auto"/>
              <w:left w:val="single" w:sz="2" w:space="0" w:color="auto"/>
              <w:bottom w:val="single" w:sz="2" w:space="0" w:color="auto"/>
              <w:right w:val="single" w:sz="2" w:space="0" w:color="auto"/>
            </w:tcBorders>
            <w:vAlign w:val="center"/>
          </w:tcPr>
          <w:p w:rsidR="00A27D66" w:rsidRDefault="00A27D66"/>
        </w:tc>
        <w:tc>
          <w:tcPr>
            <w:tcW w:w="1377" w:type="dxa"/>
            <w:vMerge/>
            <w:tcBorders>
              <w:top w:val="single" w:sz="2" w:space="0" w:color="auto"/>
              <w:left w:val="single" w:sz="2" w:space="0" w:color="auto"/>
              <w:bottom w:val="single" w:sz="2" w:space="0" w:color="auto"/>
              <w:right w:val="single" w:sz="2" w:space="0" w:color="auto"/>
            </w:tcBorders>
            <w:vAlign w:val="center"/>
          </w:tcPr>
          <w:p w:rsidR="00A27D66" w:rsidRDefault="00A27D66"/>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现金变动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非现金变动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现金变动</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非现金变动</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应付股利</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717,270.70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301,282.33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38,172.40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377,815.97</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其他应付款</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2,210,000.00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2,210,000.00</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短期借款</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10,000,000.00</w:t>
            </w:r>
          </w:p>
        </w:tc>
      </w:tr>
      <w:tr w:rsidR="00A27D6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717,270.70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12,210,000.00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301,282.33</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38,172.40</w:t>
            </w:r>
          </w:p>
        </w:tc>
        <w:tc>
          <w:tcPr>
            <w:tcW w:w="1377"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12,587,815.97</w:t>
            </w:r>
          </w:p>
        </w:tc>
      </w:tr>
    </w:tbl>
    <w:p w:rsidR="00A27D66" w:rsidRDefault="00A2119D">
      <w:pPr>
        <w:pStyle w:val="3"/>
        <w:spacing w:line="280" w:lineRule="exact"/>
        <w:jc w:val="left"/>
        <w:rPr>
          <w:rFonts w:ascii="宋体" w:hAnsi="宋体" w:cs="宋体"/>
          <w:b/>
          <w:bCs/>
        </w:rPr>
      </w:pPr>
      <w:bookmarkStart w:id="344" w:name="_Toc989227"/>
      <w:r>
        <w:rPr>
          <w:rFonts w:ascii="宋体" w:hAnsi="宋体" w:cs="宋体"/>
          <w:b/>
          <w:bCs/>
        </w:rPr>
        <w:t>58、现金流量表补充资料</w:t>
      </w:r>
      <w:bookmarkEnd w:id="344"/>
    </w:p>
    <w:p w:rsidR="00A27D66" w:rsidRDefault="00A2119D">
      <w:pPr>
        <w:keepNext/>
        <w:keepLines/>
        <w:spacing w:before="300" w:after="300" w:line="280" w:lineRule="exact"/>
        <w:outlineLvl w:val="3"/>
        <w:rPr>
          <w:rFonts w:ascii="宋体" w:eastAsia="宋体" w:hAnsi="宋体" w:cs="宋体"/>
          <w:b/>
          <w:bCs/>
          <w:szCs w:val="21"/>
        </w:rPr>
      </w:pPr>
      <w:bookmarkStart w:id="345" w:name="_Toc989228"/>
      <w:r>
        <w:rPr>
          <w:rFonts w:ascii="宋体" w:eastAsia="宋体" w:hAnsi="宋体" w:cs="宋体"/>
          <w:b/>
          <w:bCs/>
          <w:szCs w:val="21"/>
        </w:rPr>
        <w:t>（1） 现金流量表补充资料</w:t>
      </w:r>
      <w:bookmarkEnd w:id="345"/>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498"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962"/>
        <w:gridCol w:w="2268"/>
        <w:gridCol w:w="2268"/>
      </w:tblGrid>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补充资料</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本期金额</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上期金额</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净利润</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3031AF">
            <w:pPr>
              <w:spacing w:line="240" w:lineRule="exact"/>
              <w:jc w:val="right"/>
              <w:rPr>
                <w:rFonts w:ascii="宋体" w:eastAsia="宋体" w:hAnsi="宋体" w:cs="宋体"/>
                <w:sz w:val="18"/>
                <w:szCs w:val="18"/>
              </w:rPr>
            </w:pPr>
            <w:r w:rsidRPr="003031AF">
              <w:rPr>
                <w:rFonts w:ascii="宋体" w:eastAsia="宋体" w:hAnsi="宋体" w:cs="宋体"/>
                <w:sz w:val="18"/>
                <w:szCs w:val="18"/>
              </w:rPr>
              <w:t xml:space="preserve">17,155,299.05   </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-242,574,592.43</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3031AF">
            <w:pPr>
              <w:spacing w:line="240" w:lineRule="exact"/>
              <w:jc w:val="right"/>
              <w:rPr>
                <w:rFonts w:ascii="宋体" w:eastAsia="宋体" w:hAnsi="宋体" w:cs="宋体"/>
                <w:sz w:val="18"/>
                <w:szCs w:val="18"/>
              </w:rPr>
            </w:pPr>
            <w:r w:rsidRPr="003031AF">
              <w:rPr>
                <w:rFonts w:ascii="宋体" w:eastAsia="宋体" w:hAnsi="宋体" w:cs="宋体"/>
                <w:sz w:val="18"/>
                <w:szCs w:val="18"/>
              </w:rPr>
              <w:t>1,021,214.07</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256,564,784.41</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14,760,213.69</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11,566,734.45</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4,858,070.58</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5,396,843.70</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1,635,979.68</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2,920,249.15</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3,220,470.80</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5,752,305.47</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-113,156.80</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50,137.40</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固定资产报废损失（收益以“－”号填列）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-1,188,876.82</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160,683.08</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-4,169,088.25</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85,685.81</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2,869,603.61</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2,776,302.26</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3031AF">
            <w:pPr>
              <w:spacing w:line="240" w:lineRule="exact"/>
              <w:jc w:val="right"/>
              <w:rPr>
                <w:rFonts w:ascii="宋体" w:eastAsia="宋体" w:hAnsi="宋体" w:cs="宋体"/>
                <w:sz w:val="18"/>
                <w:szCs w:val="18"/>
              </w:rPr>
            </w:pPr>
            <w:r w:rsidRPr="003031AF">
              <w:rPr>
                <w:rFonts w:ascii="宋体" w:eastAsia="宋体" w:hAnsi="宋体" w:cs="宋体"/>
                <w:sz w:val="18"/>
                <w:szCs w:val="18"/>
              </w:rPr>
              <w:t>12,786,548.84</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-7,514,015.20</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-511,943.54</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-2,429,205.84</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-784,990.34</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-710,532.35</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-15,442,852.13</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-3,797,384.67</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-108,163,287.42</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34,131,539.69</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3031AF">
            <w:pPr>
              <w:spacing w:line="240" w:lineRule="exact"/>
              <w:jc w:val="right"/>
              <w:rPr>
                <w:rFonts w:ascii="宋体" w:eastAsia="宋体" w:hAnsi="宋体" w:cs="宋体"/>
                <w:sz w:val="18"/>
                <w:szCs w:val="18"/>
              </w:rPr>
            </w:pPr>
            <w:r w:rsidRPr="003031AF">
              <w:rPr>
                <w:rFonts w:ascii="宋体" w:eastAsia="宋体" w:hAnsi="宋体" w:cs="宋体"/>
                <w:sz w:val="18"/>
                <w:szCs w:val="18"/>
              </w:rPr>
              <w:t>7,298,577.66</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-15,340,162.15</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其他</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953733">
            <w:pPr>
              <w:spacing w:line="240" w:lineRule="exact"/>
              <w:jc w:val="right"/>
              <w:rPr>
                <w:rFonts w:ascii="宋体" w:eastAsia="宋体" w:hAnsi="宋体" w:cs="宋体"/>
                <w:sz w:val="18"/>
                <w:szCs w:val="18"/>
              </w:rPr>
            </w:pPr>
            <w:r w:rsidRPr="00257BAB">
              <w:rPr>
                <w:rFonts w:ascii="宋体" w:eastAsia="宋体" w:hAnsi="宋体" w:cs="宋体"/>
                <w:sz w:val="18"/>
                <w:szCs w:val="18"/>
              </w:rPr>
              <w:t>8,938,031.94</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-4,415,240.41</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3031AF">
            <w:pPr>
              <w:spacing w:line="240" w:lineRule="exact"/>
              <w:jc w:val="right"/>
              <w:rPr>
                <w:rFonts w:ascii="宋体" w:eastAsia="宋体" w:hAnsi="宋体" w:cs="宋体"/>
                <w:sz w:val="18"/>
                <w:szCs w:val="18"/>
              </w:rPr>
            </w:pPr>
            <w:r w:rsidRPr="003031AF">
              <w:rPr>
                <w:rFonts w:ascii="宋体" w:eastAsia="宋体" w:hAnsi="宋体" w:cs="宋体"/>
                <w:sz w:val="18"/>
                <w:szCs w:val="18"/>
              </w:rPr>
              <w:t>-55,830,185.38</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42,624,132.37</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w:t>
            </w:r>
            <w:proofErr w:type="gramStart"/>
            <w:r>
              <w:rPr>
                <w:rFonts w:ascii="宋体" w:eastAsia="宋体" w:hAnsi="宋体" w:cs="宋体"/>
                <w:sz w:val="18"/>
                <w:szCs w:val="18"/>
              </w:rPr>
              <w:t>券</w:t>
            </w:r>
            <w:proofErr w:type="gramEnd"/>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3．现金及现金等价物净变动情况：</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35,411,878.12</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202,930,595.77</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202,930,595.77</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94,345,379.71</w:t>
            </w: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F0555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-167,518,717.65</w:t>
            </w:r>
          </w:p>
        </w:tc>
        <w:tc>
          <w:tcPr>
            <w:tcW w:w="2268"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108,585,216.06</w:t>
            </w:r>
          </w:p>
        </w:tc>
      </w:tr>
    </w:tbl>
    <w:p w:rsidR="00A27D66" w:rsidRDefault="00A2119D">
      <w:pPr>
        <w:keepNext/>
        <w:keepLines/>
        <w:spacing w:before="300" w:after="300" w:line="280" w:lineRule="exact"/>
        <w:outlineLvl w:val="3"/>
        <w:rPr>
          <w:rFonts w:ascii="宋体" w:eastAsia="宋体" w:hAnsi="宋体" w:cs="宋体"/>
          <w:b/>
          <w:bCs/>
          <w:szCs w:val="21"/>
        </w:rPr>
      </w:pPr>
      <w:bookmarkStart w:id="346" w:name="_Toc989229"/>
      <w:r>
        <w:rPr>
          <w:rFonts w:ascii="宋体" w:eastAsia="宋体" w:hAnsi="宋体" w:cs="宋体"/>
          <w:b/>
          <w:bCs/>
          <w:szCs w:val="21"/>
        </w:rPr>
        <w:t>（2） 本期支付的取得子公司的现金净额</w:t>
      </w:r>
      <w:bookmarkEnd w:id="346"/>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减：购买日子公司持有的现金及现金等价物</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3,742,020.15</w:t>
            </w:r>
          </w:p>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r w:rsidR="00A27D66">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取得子公司支付的现金净额</w:t>
            </w:r>
          </w:p>
        </w:tc>
        <w:tc>
          <w:tcPr>
            <w:tcW w:w="482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-3,742,020.15</w:t>
            </w:r>
          </w:p>
        </w:tc>
      </w:tr>
    </w:tbl>
    <w:p w:rsidR="00A27D66" w:rsidRDefault="00A2119D">
      <w:pPr>
        <w:keepNext/>
        <w:keepLines/>
        <w:spacing w:before="300" w:after="300" w:line="280" w:lineRule="exact"/>
        <w:outlineLvl w:val="3"/>
        <w:rPr>
          <w:rFonts w:ascii="宋体" w:eastAsia="宋体" w:hAnsi="宋体" w:cs="宋体"/>
          <w:b/>
          <w:bCs/>
          <w:szCs w:val="21"/>
        </w:rPr>
      </w:pPr>
      <w:bookmarkStart w:id="347" w:name="_Toc989230"/>
      <w:r>
        <w:rPr>
          <w:rFonts w:ascii="宋体" w:eastAsia="宋体" w:hAnsi="宋体" w:cs="宋体"/>
          <w:b/>
          <w:bCs/>
          <w:szCs w:val="21"/>
        </w:rPr>
        <w:t>（3） 现金和现金等价物的构成</w:t>
      </w:r>
      <w:bookmarkEnd w:id="347"/>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4F7F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4F7F62" w:rsidRDefault="004F7F62" w:rsidP="004F7F62">
            <w:pPr>
              <w:spacing w:before="40" w:after="40" w:line="240" w:lineRule="exact"/>
              <w:rPr>
                <w:rFonts w:ascii="宋体" w:eastAsia="宋体" w:hAnsi="宋体" w:cs="宋体"/>
                <w:sz w:val="18"/>
                <w:szCs w:val="18"/>
              </w:rPr>
            </w:pPr>
            <w:r>
              <w:rPr>
                <w:rFonts w:ascii="宋体" w:eastAsia="宋体" w:hAnsi="宋体" w:cs="宋体"/>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rsidR="004F7F62" w:rsidRPr="004F7F62" w:rsidRDefault="004F7F62" w:rsidP="004F7F62">
            <w:pPr>
              <w:spacing w:line="240" w:lineRule="exact"/>
              <w:jc w:val="right"/>
              <w:rPr>
                <w:rFonts w:ascii="宋体" w:eastAsia="宋体" w:hAnsi="宋体" w:cs="宋体"/>
                <w:sz w:val="18"/>
                <w:szCs w:val="18"/>
              </w:rPr>
            </w:pPr>
            <w:r w:rsidRPr="004F7F62">
              <w:rPr>
                <w:rFonts w:ascii="宋体" w:eastAsia="宋体" w:hAnsi="宋体" w:cs="宋体"/>
                <w:sz w:val="18"/>
                <w:szCs w:val="18"/>
              </w:rPr>
              <w:t>35,411,878.12</w:t>
            </w:r>
          </w:p>
        </w:tc>
        <w:tc>
          <w:tcPr>
            <w:tcW w:w="3213" w:type="dxa"/>
            <w:tcBorders>
              <w:top w:val="single" w:sz="2" w:space="0" w:color="auto"/>
              <w:left w:val="single" w:sz="2" w:space="0" w:color="auto"/>
              <w:bottom w:val="single" w:sz="2" w:space="0" w:color="auto"/>
              <w:right w:val="single" w:sz="2" w:space="0" w:color="auto"/>
            </w:tcBorders>
            <w:vAlign w:val="center"/>
          </w:tcPr>
          <w:p w:rsidR="004F7F62" w:rsidRPr="004F7F62" w:rsidRDefault="004F7F62" w:rsidP="004F7F62">
            <w:pPr>
              <w:spacing w:line="240" w:lineRule="exact"/>
              <w:jc w:val="right"/>
              <w:rPr>
                <w:rFonts w:ascii="宋体" w:eastAsia="宋体" w:hAnsi="宋体" w:cs="宋体"/>
                <w:sz w:val="18"/>
                <w:szCs w:val="18"/>
              </w:rPr>
            </w:pPr>
            <w:r w:rsidRPr="004F7F62">
              <w:rPr>
                <w:rFonts w:ascii="宋体" w:eastAsia="宋体" w:hAnsi="宋体" w:cs="宋体"/>
                <w:sz w:val="18"/>
                <w:szCs w:val="18"/>
              </w:rPr>
              <w:t>202,930,595.77</w:t>
            </w:r>
          </w:p>
        </w:tc>
      </w:tr>
      <w:tr w:rsidR="004F7F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4F7F62" w:rsidRDefault="004F7F62" w:rsidP="004F7F62">
            <w:pPr>
              <w:spacing w:before="40" w:after="40" w:line="240" w:lineRule="exact"/>
              <w:rPr>
                <w:rFonts w:ascii="宋体" w:eastAsia="宋体" w:hAnsi="宋体" w:cs="宋体"/>
                <w:sz w:val="18"/>
                <w:szCs w:val="18"/>
              </w:rPr>
            </w:pPr>
            <w:r>
              <w:rPr>
                <w:rFonts w:ascii="宋体" w:eastAsia="宋体" w:hAnsi="宋体" w:cs="宋体"/>
                <w:sz w:val="18"/>
                <w:szCs w:val="18"/>
              </w:rPr>
              <w:t>其中：库存现金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4F7F62" w:rsidRPr="004F7F62" w:rsidRDefault="004F7F62" w:rsidP="004F7F62">
            <w:pPr>
              <w:spacing w:line="240" w:lineRule="exact"/>
              <w:jc w:val="right"/>
              <w:rPr>
                <w:rFonts w:ascii="宋体" w:eastAsia="宋体" w:hAnsi="宋体" w:cs="宋体"/>
                <w:sz w:val="18"/>
                <w:szCs w:val="18"/>
              </w:rPr>
            </w:pPr>
            <w:r w:rsidRPr="004F7F62">
              <w:rPr>
                <w:rFonts w:ascii="宋体" w:eastAsia="宋体" w:hAnsi="宋体" w:cs="宋体"/>
                <w:sz w:val="18"/>
                <w:szCs w:val="18"/>
              </w:rPr>
              <w:t>63,485.03</w:t>
            </w:r>
          </w:p>
        </w:tc>
        <w:tc>
          <w:tcPr>
            <w:tcW w:w="3213" w:type="dxa"/>
            <w:tcBorders>
              <w:top w:val="single" w:sz="2" w:space="0" w:color="auto"/>
              <w:left w:val="single" w:sz="2" w:space="0" w:color="auto"/>
              <w:bottom w:val="single" w:sz="2" w:space="0" w:color="auto"/>
              <w:right w:val="single" w:sz="2" w:space="0" w:color="auto"/>
            </w:tcBorders>
            <w:vAlign w:val="center"/>
          </w:tcPr>
          <w:p w:rsidR="004F7F62" w:rsidRPr="004F7F62" w:rsidRDefault="004F7F62" w:rsidP="004F7F62">
            <w:pPr>
              <w:spacing w:line="240" w:lineRule="exact"/>
              <w:jc w:val="right"/>
              <w:rPr>
                <w:rFonts w:ascii="宋体" w:eastAsia="宋体" w:hAnsi="宋体" w:cs="宋体"/>
                <w:sz w:val="18"/>
                <w:szCs w:val="18"/>
              </w:rPr>
            </w:pPr>
            <w:r w:rsidRPr="004F7F62">
              <w:rPr>
                <w:rFonts w:ascii="宋体" w:eastAsia="宋体" w:hAnsi="宋体" w:cs="宋体"/>
                <w:sz w:val="18"/>
                <w:szCs w:val="18"/>
              </w:rPr>
              <w:t>1,781,908.16</w:t>
            </w:r>
          </w:p>
        </w:tc>
      </w:tr>
      <w:tr w:rsidR="004F7F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4F7F62" w:rsidRDefault="004F7F62" w:rsidP="004F7F62">
            <w:pPr>
              <w:spacing w:before="40" w:after="40" w:line="240" w:lineRule="exact"/>
              <w:rPr>
                <w:rFonts w:ascii="宋体" w:eastAsia="宋体" w:hAnsi="宋体" w:cs="宋体"/>
                <w:sz w:val="18"/>
                <w:szCs w:val="18"/>
              </w:rPr>
            </w:pPr>
            <w:r>
              <w:rPr>
                <w:rFonts w:ascii="宋体" w:eastAsia="宋体" w:hAnsi="宋体"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4F7F62" w:rsidRPr="004F7F62" w:rsidRDefault="004F7F62" w:rsidP="004F7F62">
            <w:pPr>
              <w:spacing w:line="240" w:lineRule="exact"/>
              <w:jc w:val="right"/>
              <w:rPr>
                <w:rFonts w:ascii="宋体" w:eastAsia="宋体" w:hAnsi="宋体" w:cs="宋体"/>
                <w:sz w:val="18"/>
                <w:szCs w:val="18"/>
              </w:rPr>
            </w:pPr>
            <w:r w:rsidRPr="004F7F62">
              <w:rPr>
                <w:rFonts w:ascii="宋体" w:eastAsia="宋体" w:hAnsi="宋体" w:cs="宋体"/>
                <w:sz w:val="18"/>
                <w:szCs w:val="18"/>
              </w:rPr>
              <w:t>34,329,911.17</w:t>
            </w:r>
          </w:p>
        </w:tc>
        <w:tc>
          <w:tcPr>
            <w:tcW w:w="3213" w:type="dxa"/>
            <w:tcBorders>
              <w:top w:val="single" w:sz="2" w:space="0" w:color="auto"/>
              <w:left w:val="single" w:sz="2" w:space="0" w:color="auto"/>
              <w:bottom w:val="single" w:sz="2" w:space="0" w:color="auto"/>
              <w:right w:val="single" w:sz="2" w:space="0" w:color="auto"/>
            </w:tcBorders>
            <w:vAlign w:val="center"/>
          </w:tcPr>
          <w:p w:rsidR="004F7F62" w:rsidRPr="004F7F62" w:rsidRDefault="004F7F62" w:rsidP="004F7F62">
            <w:pPr>
              <w:spacing w:line="240" w:lineRule="exact"/>
              <w:jc w:val="right"/>
              <w:rPr>
                <w:rFonts w:ascii="宋体" w:eastAsia="宋体" w:hAnsi="宋体" w:cs="宋体"/>
                <w:sz w:val="18"/>
                <w:szCs w:val="18"/>
              </w:rPr>
            </w:pPr>
            <w:r w:rsidRPr="004F7F62">
              <w:rPr>
                <w:rFonts w:ascii="宋体" w:eastAsia="宋体" w:hAnsi="宋体" w:cs="宋体"/>
                <w:sz w:val="18"/>
                <w:szCs w:val="18"/>
              </w:rPr>
              <w:t>201,137,343.50</w:t>
            </w:r>
          </w:p>
        </w:tc>
      </w:tr>
      <w:tr w:rsidR="004F7F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4F7F62" w:rsidRDefault="004F7F62" w:rsidP="004F7F62">
            <w:pPr>
              <w:spacing w:before="40" w:after="40" w:line="240" w:lineRule="exact"/>
              <w:rPr>
                <w:rFonts w:ascii="宋体" w:eastAsia="宋体" w:hAnsi="宋体" w:cs="宋体"/>
                <w:sz w:val="18"/>
                <w:szCs w:val="18"/>
              </w:rPr>
            </w:pPr>
            <w:r>
              <w:rPr>
                <w:rFonts w:ascii="宋体" w:eastAsia="宋体" w:hAnsi="宋体" w:cs="宋体"/>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4F7F62" w:rsidRPr="004F7F62" w:rsidRDefault="004F7F62" w:rsidP="004F7F62">
            <w:pPr>
              <w:spacing w:line="240" w:lineRule="exact"/>
              <w:jc w:val="right"/>
              <w:rPr>
                <w:rFonts w:ascii="宋体" w:eastAsia="宋体" w:hAnsi="宋体" w:cs="宋体"/>
                <w:sz w:val="18"/>
                <w:szCs w:val="18"/>
              </w:rPr>
            </w:pPr>
            <w:r w:rsidRPr="004F7F62">
              <w:rPr>
                <w:rFonts w:ascii="宋体" w:eastAsia="宋体" w:hAnsi="宋体" w:cs="宋体"/>
                <w:sz w:val="18"/>
                <w:szCs w:val="18"/>
              </w:rPr>
              <w:t>1,018,481.92</w:t>
            </w:r>
          </w:p>
        </w:tc>
        <w:tc>
          <w:tcPr>
            <w:tcW w:w="3213" w:type="dxa"/>
            <w:tcBorders>
              <w:top w:val="single" w:sz="2" w:space="0" w:color="auto"/>
              <w:left w:val="single" w:sz="2" w:space="0" w:color="auto"/>
              <w:bottom w:val="single" w:sz="2" w:space="0" w:color="auto"/>
              <w:right w:val="single" w:sz="2" w:space="0" w:color="auto"/>
            </w:tcBorders>
            <w:vAlign w:val="center"/>
          </w:tcPr>
          <w:p w:rsidR="004F7F62" w:rsidRPr="004F7F62" w:rsidRDefault="004F7F62" w:rsidP="004F7F62">
            <w:pPr>
              <w:spacing w:line="240" w:lineRule="exact"/>
              <w:jc w:val="right"/>
              <w:rPr>
                <w:rFonts w:ascii="宋体" w:eastAsia="宋体" w:hAnsi="宋体" w:cs="宋体"/>
                <w:sz w:val="18"/>
                <w:szCs w:val="18"/>
              </w:rPr>
            </w:pPr>
            <w:r w:rsidRPr="004F7F62">
              <w:rPr>
                <w:rFonts w:ascii="宋体" w:eastAsia="宋体" w:hAnsi="宋体" w:cs="宋体"/>
                <w:sz w:val="18"/>
                <w:szCs w:val="18"/>
              </w:rPr>
              <w:t>11,344.11</w:t>
            </w:r>
          </w:p>
        </w:tc>
      </w:tr>
      <w:tr w:rsidR="004F7F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4F7F62" w:rsidRDefault="004F7F62" w:rsidP="004F7F62">
            <w:pPr>
              <w:spacing w:before="40" w:after="40" w:line="24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4F7F62" w:rsidRPr="004F7F62" w:rsidRDefault="004F7F62" w:rsidP="004F7F62">
            <w:pPr>
              <w:spacing w:line="240" w:lineRule="exact"/>
              <w:jc w:val="right"/>
              <w:rPr>
                <w:rFonts w:ascii="宋体" w:eastAsia="宋体" w:hAnsi="宋体" w:cs="宋体"/>
                <w:sz w:val="18"/>
                <w:szCs w:val="18"/>
              </w:rPr>
            </w:pPr>
            <w:r w:rsidRPr="004F7F62">
              <w:rPr>
                <w:rFonts w:ascii="宋体" w:eastAsia="宋体" w:hAnsi="宋体" w:cs="宋体"/>
                <w:sz w:val="18"/>
                <w:szCs w:val="18"/>
              </w:rPr>
              <w:t>35,411,878.12</w:t>
            </w:r>
          </w:p>
        </w:tc>
        <w:tc>
          <w:tcPr>
            <w:tcW w:w="3213" w:type="dxa"/>
            <w:tcBorders>
              <w:top w:val="single" w:sz="2" w:space="0" w:color="auto"/>
              <w:left w:val="single" w:sz="2" w:space="0" w:color="auto"/>
              <w:bottom w:val="single" w:sz="2" w:space="0" w:color="auto"/>
              <w:right w:val="single" w:sz="2" w:space="0" w:color="auto"/>
            </w:tcBorders>
            <w:vAlign w:val="center"/>
          </w:tcPr>
          <w:p w:rsidR="004F7F62" w:rsidRPr="004F7F62" w:rsidRDefault="004F7F62" w:rsidP="004F7F62">
            <w:pPr>
              <w:spacing w:line="240" w:lineRule="exact"/>
              <w:jc w:val="right"/>
              <w:rPr>
                <w:rFonts w:ascii="宋体" w:eastAsia="宋体" w:hAnsi="宋体" w:cs="宋体"/>
                <w:sz w:val="18"/>
                <w:szCs w:val="18"/>
              </w:rPr>
            </w:pPr>
            <w:r w:rsidRPr="004F7F62">
              <w:rPr>
                <w:rFonts w:ascii="宋体" w:eastAsia="宋体" w:hAnsi="宋体" w:cs="宋体"/>
                <w:sz w:val="18"/>
                <w:szCs w:val="18"/>
              </w:rPr>
              <w:t>202,930,595.77</w:t>
            </w:r>
          </w:p>
        </w:tc>
      </w:tr>
    </w:tbl>
    <w:p w:rsidR="00A27D66" w:rsidRDefault="00A2119D">
      <w:pPr>
        <w:keepNext/>
        <w:keepLines/>
        <w:spacing w:before="300" w:after="300" w:line="280" w:lineRule="exact"/>
        <w:outlineLvl w:val="3"/>
        <w:rPr>
          <w:rFonts w:ascii="宋体" w:eastAsia="宋体" w:hAnsi="宋体" w:cs="宋体"/>
          <w:b/>
          <w:bCs/>
          <w:szCs w:val="21"/>
        </w:rPr>
      </w:pPr>
      <w:bookmarkStart w:id="348" w:name="_Toc989231"/>
      <w:r>
        <w:rPr>
          <w:rFonts w:ascii="宋体" w:eastAsia="宋体" w:hAnsi="宋体" w:cs="宋体"/>
          <w:b/>
          <w:bCs/>
          <w:szCs w:val="21"/>
        </w:rPr>
        <w:t>（4） 不属于现金及现金等价物的货币资金</w:t>
      </w:r>
      <w:bookmarkEnd w:id="348"/>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rsidTr="004F7F62">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本期金额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上期金额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不属于现金及现金等价物的理由</w:t>
            </w:r>
          </w:p>
        </w:tc>
      </w:tr>
      <w:tr w:rsidR="004F7F62" w:rsidTr="004F7F62">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rPr>
                <w:rFonts w:ascii="宋体" w:eastAsia="宋体" w:hAnsi="宋体" w:cs="宋体"/>
                <w:sz w:val="18"/>
                <w:szCs w:val="18"/>
              </w:rPr>
            </w:pPr>
            <w:r>
              <w:rPr>
                <w:rFonts w:ascii="宋体" w:eastAsia="宋体" w:hAnsi="宋体" w:cs="宋体"/>
                <w:sz w:val="18"/>
                <w:szCs w:val="18"/>
              </w:rPr>
              <w:t>银行存款</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Pr>
                <w:rFonts w:ascii="宋体" w:eastAsia="宋体" w:hAnsi="宋体" w:cs="宋体"/>
                <w:sz w:val="18"/>
                <w:szCs w:val="18"/>
              </w:rPr>
              <w:t>90,000,000.00</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Pr>
                <w:rFonts w:ascii="宋体" w:eastAsia="宋体" w:hAnsi="宋体" w:cs="宋体"/>
                <w:sz w:val="18"/>
                <w:szCs w:val="18"/>
              </w:rPr>
              <w:t>40,000,000.00</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rPr>
                <w:rFonts w:ascii="宋体" w:eastAsia="宋体" w:hAnsi="宋体" w:cs="宋体"/>
                <w:sz w:val="18"/>
                <w:szCs w:val="18"/>
              </w:rPr>
            </w:pPr>
            <w:r w:rsidRPr="00D17413">
              <w:rPr>
                <w:rFonts w:ascii="宋体" w:eastAsia="宋体" w:hAnsi="宋体" w:cs="宋体" w:hint="eastAsia"/>
                <w:sz w:val="18"/>
                <w:szCs w:val="18"/>
              </w:rPr>
              <w:t>定期存款</w:t>
            </w:r>
          </w:p>
        </w:tc>
      </w:tr>
      <w:tr w:rsidR="004F7F62" w:rsidTr="004F7F62">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rPr>
                <w:rFonts w:ascii="宋体" w:eastAsia="宋体" w:hAnsi="宋体" w:cs="宋体"/>
                <w:sz w:val="18"/>
                <w:szCs w:val="18"/>
              </w:rPr>
            </w:pPr>
            <w:r>
              <w:rPr>
                <w:rFonts w:ascii="宋体" w:eastAsia="宋体" w:hAnsi="宋体" w:cs="宋体"/>
                <w:sz w:val="18"/>
                <w:szCs w:val="18"/>
              </w:rPr>
              <w:t>其他货币资金</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Pr>
                <w:rFonts w:ascii="宋体" w:eastAsia="宋体" w:hAnsi="宋体" w:cs="宋体"/>
                <w:sz w:val="18"/>
                <w:szCs w:val="18"/>
              </w:rPr>
              <w:t>5,843,985.24</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jc w:val="right"/>
              <w:rPr>
                <w:rFonts w:ascii="宋体" w:eastAsia="宋体" w:hAnsi="宋体" w:cs="宋体"/>
                <w:sz w:val="18"/>
                <w:szCs w:val="18"/>
              </w:rPr>
            </w:pPr>
            <w:r>
              <w:rPr>
                <w:rFonts w:ascii="宋体" w:eastAsia="宋体" w:hAnsi="宋体" w:cs="宋体"/>
                <w:sz w:val="18"/>
                <w:szCs w:val="18"/>
              </w:rPr>
              <w:t>6,759,124.85</w:t>
            </w:r>
          </w:p>
        </w:tc>
        <w:tc>
          <w:tcPr>
            <w:tcW w:w="2410" w:type="dxa"/>
            <w:tcBorders>
              <w:top w:val="single" w:sz="2" w:space="0" w:color="auto"/>
              <w:left w:val="single" w:sz="2" w:space="0" w:color="auto"/>
              <w:bottom w:val="single" w:sz="2" w:space="0" w:color="auto"/>
              <w:right w:val="single" w:sz="2" w:space="0" w:color="auto"/>
            </w:tcBorders>
            <w:vAlign w:val="center"/>
          </w:tcPr>
          <w:p w:rsidR="004F7F62" w:rsidRDefault="004F7F62" w:rsidP="004F7F62">
            <w:pPr>
              <w:spacing w:line="240" w:lineRule="exact"/>
              <w:rPr>
                <w:rFonts w:ascii="宋体" w:eastAsia="宋体" w:hAnsi="宋体" w:cs="宋体"/>
                <w:sz w:val="18"/>
                <w:szCs w:val="18"/>
              </w:rPr>
            </w:pPr>
            <w:r w:rsidRPr="00D17413">
              <w:rPr>
                <w:rFonts w:ascii="宋体" w:eastAsia="宋体" w:hAnsi="宋体" w:cs="宋体" w:hint="eastAsia"/>
                <w:sz w:val="18"/>
                <w:szCs w:val="18"/>
              </w:rPr>
              <w:t>票据保证金及定期存款利息</w:t>
            </w:r>
          </w:p>
        </w:tc>
      </w:tr>
      <w:tr w:rsidR="00A27D66" w:rsidTr="004F7F62">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95,843,985.24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46,759,124.85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r>
    </w:tbl>
    <w:p w:rsidR="00A27D66" w:rsidRDefault="00A2119D">
      <w:pPr>
        <w:pStyle w:val="3"/>
        <w:spacing w:line="280" w:lineRule="exact"/>
        <w:jc w:val="left"/>
        <w:rPr>
          <w:rFonts w:ascii="宋体" w:hAnsi="宋体" w:cs="宋体"/>
          <w:b/>
          <w:bCs/>
        </w:rPr>
      </w:pPr>
      <w:bookmarkStart w:id="349" w:name="_Toc989232"/>
      <w:r>
        <w:rPr>
          <w:rFonts w:ascii="宋体" w:hAnsi="宋体" w:cs="宋体"/>
          <w:b/>
          <w:bCs/>
        </w:rPr>
        <w:lastRenderedPageBreak/>
        <w:t>59、外币货币性项目</w:t>
      </w:r>
      <w:bookmarkEnd w:id="349"/>
    </w:p>
    <w:p w:rsidR="00A27D66" w:rsidRDefault="00A2119D">
      <w:pPr>
        <w:keepNext/>
        <w:keepLines/>
        <w:spacing w:before="300" w:after="300" w:line="280" w:lineRule="exact"/>
        <w:outlineLvl w:val="3"/>
        <w:rPr>
          <w:rFonts w:ascii="宋体" w:eastAsia="宋体" w:hAnsi="宋体" w:cs="宋体"/>
          <w:b/>
          <w:bCs/>
          <w:szCs w:val="21"/>
        </w:rPr>
      </w:pPr>
      <w:bookmarkStart w:id="350" w:name="_Toc989233"/>
      <w:r>
        <w:rPr>
          <w:rFonts w:ascii="宋体" w:eastAsia="宋体" w:hAnsi="宋体" w:cs="宋体"/>
          <w:b/>
          <w:bCs/>
          <w:szCs w:val="21"/>
        </w:rPr>
        <w:t>（1） 外币货币性项目</w:t>
      </w:r>
      <w:bookmarkEnd w:id="350"/>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rsidTr="00F0555B">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A27D66" w:rsidTr="00F0555B">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F0555B">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40,732.62</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7.1884</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292,802.37</w:t>
            </w:r>
          </w:p>
        </w:tc>
      </w:tr>
      <w:tr w:rsidR="00A27D66" w:rsidTr="00F0555B">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rsidTr="00F0555B">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211,860.72</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0.9260</w:t>
            </w:r>
          </w:p>
        </w:tc>
        <w:tc>
          <w:tcPr>
            <w:tcW w:w="2410"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196,183.03</w:t>
            </w:r>
          </w:p>
        </w:tc>
      </w:tr>
    </w:tbl>
    <w:p w:rsidR="00A27D66" w:rsidRDefault="00A2119D">
      <w:pPr>
        <w:keepNext/>
        <w:keepLines/>
        <w:spacing w:before="300" w:after="300" w:line="280" w:lineRule="exact"/>
        <w:outlineLvl w:val="3"/>
        <w:rPr>
          <w:rFonts w:ascii="宋体" w:eastAsia="宋体" w:hAnsi="宋体" w:cs="宋体"/>
          <w:b/>
          <w:bCs/>
          <w:szCs w:val="21"/>
        </w:rPr>
      </w:pPr>
      <w:bookmarkStart w:id="351" w:name="_Toc989234"/>
      <w:r>
        <w:rPr>
          <w:rFonts w:ascii="宋体" w:eastAsia="宋体" w:hAnsi="宋体" w:cs="宋体"/>
          <w:b/>
          <w:bCs/>
          <w:szCs w:val="21"/>
        </w:rPr>
        <w:t>（2） 境外经营实体说明，包括对于重要的境外经营实体，应披露其境外主要经营地、记账本位币及选择依据，记账本位币发生变化的还应披露原因。</w:t>
      </w:r>
      <w:bookmarkEnd w:id="351"/>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pStyle w:val="3"/>
        <w:spacing w:line="280" w:lineRule="exact"/>
        <w:jc w:val="left"/>
        <w:rPr>
          <w:rFonts w:ascii="宋体" w:hAnsi="宋体" w:cs="宋体"/>
          <w:b/>
          <w:bCs/>
        </w:rPr>
      </w:pPr>
      <w:bookmarkStart w:id="352" w:name="_Toc989235"/>
      <w:r>
        <w:rPr>
          <w:rFonts w:ascii="宋体" w:hAnsi="宋体" w:cs="宋体"/>
          <w:b/>
          <w:bCs/>
        </w:rPr>
        <w:t>60、租赁</w:t>
      </w:r>
      <w:bookmarkEnd w:id="352"/>
    </w:p>
    <w:p w:rsidR="00A27D66" w:rsidRDefault="00A2119D">
      <w:pPr>
        <w:keepNext/>
        <w:keepLines/>
        <w:spacing w:before="300" w:after="300" w:line="280" w:lineRule="exact"/>
        <w:outlineLvl w:val="3"/>
        <w:rPr>
          <w:rFonts w:ascii="宋体" w:eastAsia="宋体" w:hAnsi="宋体" w:cs="宋体"/>
          <w:b/>
          <w:bCs/>
          <w:szCs w:val="21"/>
        </w:rPr>
      </w:pPr>
      <w:bookmarkStart w:id="353" w:name="_Toc989236"/>
      <w:r>
        <w:rPr>
          <w:rFonts w:ascii="宋体" w:eastAsia="宋体" w:hAnsi="宋体" w:cs="宋体"/>
          <w:b/>
          <w:bCs/>
          <w:szCs w:val="21"/>
        </w:rPr>
        <w:t>（1） 本公司作为承租方</w:t>
      </w:r>
      <w:bookmarkEnd w:id="353"/>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未纳入租赁负债计量的可变租赁付款额</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简化处理的短期租赁或低价值资产的租赁费用</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5000" w:type="pct"/>
        <w:tblCellMar>
          <w:left w:w="0" w:type="dxa"/>
          <w:right w:w="0" w:type="dxa"/>
        </w:tblCellMar>
        <w:tblLook w:val="04A0" w:firstRow="1" w:lastRow="0" w:firstColumn="1" w:lastColumn="0" w:noHBand="0" w:noVBand="1"/>
      </w:tblPr>
      <w:tblGrid>
        <w:gridCol w:w="6445"/>
        <w:gridCol w:w="3172"/>
      </w:tblGrid>
      <w:tr w:rsidR="00A2119D" w:rsidRPr="00F0555B">
        <w:trPr>
          <w:divId w:val="1639258573"/>
          <w:cantSplit/>
          <w:trHeight w:val="397"/>
          <w:tblHeader/>
        </w:trPr>
        <w:tc>
          <w:tcPr>
            <w:tcW w:w="33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Pr="00F0555B" w:rsidRDefault="00A2119D">
            <w:pPr>
              <w:pStyle w:val="a3"/>
              <w:spacing w:before="0" w:beforeAutospacing="0" w:after="0" w:afterAutospacing="0"/>
              <w:jc w:val="center"/>
              <w:rPr>
                <w:rFonts w:cs="Times New Roman"/>
                <w:sz w:val="18"/>
                <w:szCs w:val="18"/>
              </w:rPr>
            </w:pPr>
            <w:r w:rsidRPr="00F0555B">
              <w:rPr>
                <w:rFonts w:cs="Times New Roman" w:hint="eastAsia"/>
                <w:snapToGrid w:val="0"/>
                <w:color w:val="000000"/>
                <w:sz w:val="18"/>
                <w:szCs w:val="18"/>
              </w:rPr>
              <w:t>项目</w:t>
            </w:r>
          </w:p>
        </w:tc>
        <w:tc>
          <w:tcPr>
            <w:tcW w:w="16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9D" w:rsidRPr="00F0555B" w:rsidRDefault="00A2119D">
            <w:pPr>
              <w:pStyle w:val="a3"/>
              <w:spacing w:before="0" w:beforeAutospacing="0" w:after="0" w:afterAutospacing="0"/>
              <w:jc w:val="center"/>
              <w:rPr>
                <w:rFonts w:cs="Times New Roman"/>
                <w:sz w:val="18"/>
                <w:szCs w:val="18"/>
              </w:rPr>
            </w:pPr>
            <w:r w:rsidRPr="00F0555B">
              <w:rPr>
                <w:rFonts w:cs="Times New Roman" w:hint="eastAsia"/>
                <w:snapToGrid w:val="0"/>
                <w:color w:val="000000"/>
                <w:sz w:val="18"/>
                <w:szCs w:val="18"/>
              </w:rPr>
              <w:t>本期金额</w:t>
            </w:r>
          </w:p>
        </w:tc>
      </w:tr>
      <w:tr w:rsidR="00A2119D" w:rsidRPr="00F0555B">
        <w:trPr>
          <w:divId w:val="1639258573"/>
          <w:cantSplit/>
          <w:trHeight w:val="397"/>
        </w:trPr>
        <w:tc>
          <w:tcPr>
            <w:tcW w:w="33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Pr="00F0555B" w:rsidRDefault="00A2119D">
            <w:pPr>
              <w:pStyle w:val="a3"/>
              <w:spacing w:before="0" w:beforeAutospacing="0" w:after="0" w:afterAutospacing="0"/>
              <w:jc w:val="both"/>
              <w:rPr>
                <w:rFonts w:cs="Times New Roman"/>
                <w:sz w:val="18"/>
                <w:szCs w:val="18"/>
              </w:rPr>
            </w:pPr>
            <w:r w:rsidRPr="00F0555B">
              <w:rPr>
                <w:rFonts w:cs="Times New Roman" w:hint="eastAsia"/>
                <w:snapToGrid w:val="0"/>
                <w:color w:val="000000"/>
                <w:sz w:val="18"/>
                <w:szCs w:val="18"/>
              </w:rPr>
              <w:t>本期采用简化处理的短期租赁费用</w:t>
            </w:r>
          </w:p>
        </w:tc>
        <w:tc>
          <w:tcPr>
            <w:tcW w:w="16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F0555B" w:rsidRDefault="00A2119D">
            <w:pPr>
              <w:pStyle w:val="a3"/>
              <w:spacing w:before="0" w:beforeAutospacing="0" w:after="0" w:afterAutospacing="0"/>
              <w:jc w:val="right"/>
              <w:rPr>
                <w:rFonts w:cs="Times New Roman"/>
                <w:sz w:val="18"/>
                <w:szCs w:val="18"/>
              </w:rPr>
            </w:pPr>
            <w:r w:rsidRPr="00F0555B">
              <w:rPr>
                <w:rFonts w:cs="Times New Roman"/>
                <w:snapToGrid w:val="0"/>
                <w:color w:val="000000"/>
                <w:sz w:val="18"/>
                <w:szCs w:val="18"/>
              </w:rPr>
              <w:t>1,578,038.86</w:t>
            </w:r>
          </w:p>
        </w:tc>
      </w:tr>
      <w:tr w:rsidR="00A2119D" w:rsidRPr="00F0555B">
        <w:trPr>
          <w:divId w:val="1639258573"/>
          <w:cantSplit/>
          <w:trHeight w:val="397"/>
        </w:trPr>
        <w:tc>
          <w:tcPr>
            <w:tcW w:w="33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Pr="00F0555B" w:rsidRDefault="00A2119D">
            <w:pPr>
              <w:pStyle w:val="a3"/>
              <w:spacing w:before="0" w:beforeAutospacing="0" w:after="0" w:afterAutospacing="0"/>
              <w:jc w:val="both"/>
              <w:rPr>
                <w:rFonts w:cs="Times New Roman"/>
                <w:sz w:val="18"/>
                <w:szCs w:val="18"/>
              </w:rPr>
            </w:pPr>
            <w:r w:rsidRPr="00F0555B">
              <w:rPr>
                <w:rFonts w:cs="Times New Roman" w:hint="eastAsia"/>
                <w:snapToGrid w:val="0"/>
                <w:color w:val="000000"/>
                <w:sz w:val="18"/>
                <w:szCs w:val="18"/>
              </w:rPr>
              <w:t>本期低价值资产租赁费用</w:t>
            </w:r>
          </w:p>
        </w:tc>
        <w:tc>
          <w:tcPr>
            <w:tcW w:w="16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F0555B" w:rsidRDefault="00A2119D">
            <w:pPr>
              <w:pStyle w:val="a3"/>
              <w:spacing w:before="0" w:beforeAutospacing="0" w:after="0" w:afterAutospacing="0"/>
              <w:jc w:val="right"/>
              <w:rPr>
                <w:rFonts w:cs="Times New Roman"/>
                <w:sz w:val="18"/>
                <w:szCs w:val="18"/>
              </w:rPr>
            </w:pPr>
            <w:r w:rsidRPr="00F0555B">
              <w:rPr>
                <w:rFonts w:cs="Times New Roman"/>
                <w:snapToGrid w:val="0"/>
                <w:color w:val="000000"/>
                <w:sz w:val="18"/>
                <w:szCs w:val="18"/>
              </w:rPr>
              <w:t xml:space="preserve">-   </w:t>
            </w:r>
          </w:p>
        </w:tc>
      </w:tr>
      <w:tr w:rsidR="00A2119D" w:rsidRPr="00F0555B">
        <w:trPr>
          <w:divId w:val="1639258573"/>
          <w:cantSplit/>
          <w:trHeight w:val="397"/>
        </w:trPr>
        <w:tc>
          <w:tcPr>
            <w:tcW w:w="33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Pr="00F0555B" w:rsidRDefault="00A2119D">
            <w:pPr>
              <w:pStyle w:val="a3"/>
              <w:spacing w:before="0" w:beforeAutospacing="0" w:after="0" w:afterAutospacing="0"/>
              <w:jc w:val="both"/>
              <w:rPr>
                <w:rFonts w:cs="Times New Roman"/>
                <w:sz w:val="18"/>
                <w:szCs w:val="18"/>
              </w:rPr>
            </w:pPr>
            <w:r w:rsidRPr="00F0555B">
              <w:rPr>
                <w:rFonts w:cs="Times New Roman" w:hint="eastAsia"/>
                <w:snapToGrid w:val="0"/>
                <w:color w:val="000000"/>
                <w:sz w:val="18"/>
                <w:szCs w:val="18"/>
              </w:rPr>
              <w:t>本期与租赁相关的总现金流出</w:t>
            </w:r>
          </w:p>
        </w:tc>
        <w:tc>
          <w:tcPr>
            <w:tcW w:w="16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19D" w:rsidRPr="00F0555B" w:rsidRDefault="00A2119D">
            <w:pPr>
              <w:pStyle w:val="a3"/>
              <w:spacing w:before="0" w:beforeAutospacing="0" w:after="0" w:afterAutospacing="0"/>
              <w:jc w:val="right"/>
              <w:rPr>
                <w:rFonts w:cs="Times New Roman"/>
                <w:sz w:val="18"/>
                <w:szCs w:val="18"/>
              </w:rPr>
            </w:pPr>
            <w:r w:rsidRPr="00F0555B">
              <w:rPr>
                <w:rFonts w:cs="Times New Roman"/>
                <w:snapToGrid w:val="0"/>
                <w:color w:val="000000"/>
                <w:sz w:val="18"/>
                <w:szCs w:val="18"/>
              </w:rPr>
              <w:t>8,142,388.14</w:t>
            </w:r>
          </w:p>
        </w:tc>
      </w:tr>
    </w:tbl>
    <w:p w:rsidR="00A27D66" w:rsidRDefault="00A2119D">
      <w:pPr>
        <w:keepNext/>
        <w:keepLines/>
        <w:spacing w:before="300" w:after="300" w:line="280" w:lineRule="exact"/>
        <w:outlineLvl w:val="3"/>
        <w:rPr>
          <w:rFonts w:ascii="宋体" w:eastAsia="宋体" w:hAnsi="宋体" w:cs="宋体"/>
          <w:b/>
          <w:bCs/>
          <w:szCs w:val="21"/>
        </w:rPr>
      </w:pPr>
      <w:bookmarkStart w:id="354" w:name="_Toc989237"/>
      <w:r>
        <w:rPr>
          <w:rFonts w:ascii="宋体" w:eastAsia="宋体" w:hAnsi="宋体" w:cs="宋体"/>
          <w:b/>
          <w:bCs/>
          <w:szCs w:val="21"/>
        </w:rPr>
        <w:t>（2） 本公司作为出租方</w:t>
      </w:r>
      <w:bookmarkEnd w:id="354"/>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作为出租人的经营租赁</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租赁收入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其中：未计入</w:t>
            </w:r>
            <w:proofErr w:type="gramStart"/>
            <w:r>
              <w:rPr>
                <w:rFonts w:ascii="宋体" w:eastAsia="宋体" w:hAnsi="宋体" w:cs="宋体"/>
                <w:sz w:val="18"/>
                <w:szCs w:val="18"/>
              </w:rPr>
              <w:t>租赁收</w:t>
            </w:r>
            <w:proofErr w:type="gramEnd"/>
            <w:r>
              <w:rPr>
                <w:rFonts w:ascii="宋体" w:eastAsia="宋体" w:hAnsi="宋体" w:cs="宋体"/>
                <w:sz w:val="18"/>
                <w:szCs w:val="18"/>
              </w:rPr>
              <w:t>款额的可变租赁付款</w:t>
            </w:r>
            <w:proofErr w:type="gramStart"/>
            <w:r>
              <w:rPr>
                <w:rFonts w:ascii="宋体" w:eastAsia="宋体" w:hAnsi="宋体" w:cs="宋体"/>
                <w:sz w:val="18"/>
                <w:szCs w:val="18"/>
              </w:rPr>
              <w:t>额相关</w:t>
            </w:r>
            <w:proofErr w:type="gramEnd"/>
            <w:r>
              <w:rPr>
                <w:rFonts w:ascii="宋体" w:eastAsia="宋体" w:hAnsi="宋体" w:cs="宋体"/>
                <w:sz w:val="18"/>
                <w:szCs w:val="18"/>
              </w:rPr>
              <w:t>的收入</w:t>
            </w: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rPr>
                <w:rFonts w:ascii="宋体" w:eastAsia="宋体" w:hAnsi="宋体" w:cs="宋体"/>
                <w:sz w:val="18"/>
                <w:szCs w:val="18"/>
              </w:rPr>
            </w:pPr>
            <w:r>
              <w:rPr>
                <w:rFonts w:ascii="宋体" w:eastAsia="宋体" w:hAnsi="宋体" w:cs="宋体"/>
                <w:sz w:val="18"/>
                <w:szCs w:val="18"/>
              </w:rPr>
              <w:t>房屋与建筑物</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2,433,140.45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r w:rsidR="00A27D66">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119D">
            <w:pPr>
              <w:spacing w:line="240" w:lineRule="exact"/>
              <w:jc w:val="right"/>
              <w:rPr>
                <w:rFonts w:ascii="宋体" w:eastAsia="宋体" w:hAnsi="宋体" w:cs="宋体"/>
                <w:sz w:val="18"/>
                <w:szCs w:val="18"/>
              </w:rPr>
            </w:pPr>
            <w:r>
              <w:rPr>
                <w:rFonts w:ascii="宋体" w:eastAsia="宋体" w:hAnsi="宋体" w:cs="宋体"/>
                <w:sz w:val="18"/>
                <w:szCs w:val="18"/>
              </w:rPr>
              <w:t>2,433,140.45</w:t>
            </w:r>
          </w:p>
        </w:tc>
        <w:tc>
          <w:tcPr>
            <w:tcW w:w="3213" w:type="dxa"/>
            <w:tcBorders>
              <w:top w:val="single" w:sz="2" w:space="0" w:color="auto"/>
              <w:left w:val="single" w:sz="2" w:space="0" w:color="auto"/>
              <w:bottom w:val="single" w:sz="2" w:space="0" w:color="auto"/>
              <w:right w:val="single" w:sz="2" w:space="0" w:color="auto"/>
            </w:tcBorders>
            <w:vAlign w:val="center"/>
          </w:tcPr>
          <w:p w:rsidR="00A27D66" w:rsidRDefault="00A27D66">
            <w:pPr>
              <w:spacing w:line="240" w:lineRule="exact"/>
              <w:jc w:val="right"/>
              <w:rPr>
                <w:rFonts w:ascii="宋体" w:eastAsia="宋体" w:hAnsi="宋体" w:cs="宋体"/>
                <w:sz w:val="18"/>
                <w:szCs w:val="18"/>
              </w:rPr>
            </w:pP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作为出租人的融资租赁</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2409"/>
        <w:gridCol w:w="2410"/>
        <w:gridCol w:w="2410"/>
        <w:gridCol w:w="2410"/>
      </w:tblGrid>
      <w:tr w:rsidR="00A27D66" w:rsidTr="005E250D">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销售损益</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融资收益</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未纳入租赁投资净额的可变租赁付款</w:t>
            </w:r>
            <w:proofErr w:type="gramStart"/>
            <w:r>
              <w:rPr>
                <w:rFonts w:ascii="宋体" w:eastAsia="宋体" w:hAnsi="宋体" w:cs="宋体"/>
                <w:sz w:val="18"/>
                <w:szCs w:val="18"/>
              </w:rPr>
              <w:t>额相关</w:t>
            </w:r>
            <w:proofErr w:type="gramEnd"/>
            <w:r>
              <w:rPr>
                <w:rFonts w:ascii="宋体" w:eastAsia="宋体" w:hAnsi="宋体" w:cs="宋体"/>
                <w:sz w:val="18"/>
                <w:szCs w:val="18"/>
              </w:rPr>
              <w:t>的收入</w:t>
            </w:r>
          </w:p>
        </w:tc>
      </w:tr>
      <w:tr w:rsidR="005E250D" w:rsidTr="005E250D">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rPr>
                <w:rFonts w:ascii="宋体" w:eastAsia="宋体" w:hAnsi="宋体" w:cs="宋体"/>
                <w:sz w:val="18"/>
                <w:szCs w:val="18"/>
              </w:rPr>
            </w:pPr>
            <w:r>
              <w:rPr>
                <w:rFonts w:ascii="宋体" w:eastAsia="宋体" w:hAnsi="宋体" w:cs="宋体"/>
                <w:sz w:val="18"/>
                <w:szCs w:val="18"/>
              </w:rPr>
              <w:lastRenderedPageBreak/>
              <w:t>机器设备</w:t>
            </w:r>
          </w:p>
        </w:tc>
        <w:tc>
          <w:tcPr>
            <w:tcW w:w="2410"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485,640.21</w:t>
            </w:r>
          </w:p>
        </w:tc>
        <w:tc>
          <w:tcPr>
            <w:tcW w:w="2410"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Pr>
                <w:rFonts w:ascii="宋体" w:eastAsia="宋体" w:hAnsi="宋体" w:cs="宋体"/>
                <w:sz w:val="18"/>
                <w:szCs w:val="18"/>
              </w:rPr>
              <w:t>266,572.18</w:t>
            </w:r>
          </w:p>
        </w:tc>
        <w:tc>
          <w:tcPr>
            <w:tcW w:w="2410"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r>
      <w:tr w:rsidR="005E250D" w:rsidTr="005E250D">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5E250D" w:rsidRDefault="005E250D" w:rsidP="005E250D">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485,640.21</w:t>
            </w:r>
          </w:p>
        </w:tc>
        <w:tc>
          <w:tcPr>
            <w:tcW w:w="2410"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Pr>
                <w:rFonts w:ascii="宋体" w:eastAsia="宋体" w:hAnsi="宋体" w:cs="宋体"/>
                <w:sz w:val="18"/>
                <w:szCs w:val="18"/>
              </w:rPr>
              <w:t>266,572.18</w:t>
            </w:r>
          </w:p>
        </w:tc>
        <w:tc>
          <w:tcPr>
            <w:tcW w:w="2410"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未来五年每年未折现</w:t>
      </w:r>
      <w:proofErr w:type="gramStart"/>
      <w:r>
        <w:rPr>
          <w:rFonts w:ascii="宋体" w:eastAsia="宋体" w:hAnsi="宋体" w:cs="宋体"/>
          <w:sz w:val="18"/>
          <w:szCs w:val="18"/>
        </w:rPr>
        <w:t>租赁收</w:t>
      </w:r>
      <w:proofErr w:type="gramEnd"/>
      <w:r>
        <w:rPr>
          <w:rFonts w:ascii="宋体" w:eastAsia="宋体" w:hAnsi="宋体" w:cs="宋体"/>
          <w:sz w:val="18"/>
          <w:szCs w:val="18"/>
        </w:rPr>
        <w:t>款额</w:t>
      </w:r>
    </w:p>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A27D66" w:rsidRDefault="00A2119D">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A27D66">
        <w:trPr>
          <w:trHeight w:val="240"/>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642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每年未折现</w:t>
            </w:r>
            <w:proofErr w:type="gramStart"/>
            <w:r>
              <w:rPr>
                <w:rFonts w:ascii="宋体" w:eastAsia="宋体" w:hAnsi="宋体" w:cs="宋体"/>
                <w:sz w:val="18"/>
                <w:szCs w:val="18"/>
              </w:rPr>
              <w:t>租赁收</w:t>
            </w:r>
            <w:proofErr w:type="gramEnd"/>
            <w:r>
              <w:rPr>
                <w:rFonts w:ascii="宋体" w:eastAsia="宋体" w:hAnsi="宋体" w:cs="宋体"/>
                <w:sz w:val="18"/>
                <w:szCs w:val="18"/>
              </w:rPr>
              <w:t>款额</w:t>
            </w:r>
          </w:p>
        </w:tc>
      </w:tr>
      <w:tr w:rsidR="00A27D66">
        <w:trPr>
          <w:trHeight w:val="240"/>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7D66"/>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期末金额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A27D66" w:rsidRDefault="00A2119D">
            <w:pPr>
              <w:spacing w:before="40" w:after="40" w:line="240" w:lineRule="exact"/>
              <w:jc w:val="center"/>
              <w:rPr>
                <w:rFonts w:ascii="宋体" w:eastAsia="宋体" w:hAnsi="宋体" w:cs="宋体"/>
                <w:sz w:val="18"/>
                <w:szCs w:val="18"/>
              </w:rPr>
            </w:pPr>
            <w:r>
              <w:rPr>
                <w:rFonts w:ascii="宋体" w:eastAsia="宋体" w:hAnsi="宋体" w:cs="宋体"/>
                <w:sz w:val="18"/>
                <w:szCs w:val="18"/>
              </w:rPr>
              <w:t>期</w:t>
            </w:r>
            <w:proofErr w:type="gramStart"/>
            <w:r>
              <w:rPr>
                <w:rFonts w:ascii="宋体" w:eastAsia="宋体" w:hAnsi="宋体" w:cs="宋体"/>
                <w:sz w:val="18"/>
                <w:szCs w:val="18"/>
              </w:rPr>
              <w:t>初金额</w:t>
            </w:r>
            <w:proofErr w:type="gramEnd"/>
          </w:p>
        </w:tc>
      </w:tr>
      <w:tr w:rsidR="005E25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5E250D" w:rsidRDefault="005E250D" w:rsidP="005E250D">
            <w:pPr>
              <w:spacing w:before="40" w:after="40" w:line="240" w:lineRule="exact"/>
              <w:rPr>
                <w:rFonts w:ascii="宋体" w:eastAsia="宋体" w:hAnsi="宋体" w:cs="宋体"/>
                <w:sz w:val="18"/>
                <w:szCs w:val="18"/>
              </w:rPr>
            </w:pPr>
            <w:r>
              <w:rPr>
                <w:rFonts w:ascii="宋体" w:eastAsia="宋体" w:hAnsi="宋体" w:cs="宋体"/>
                <w:sz w:val="18"/>
                <w:szCs w:val="18"/>
              </w:rPr>
              <w:t>第一年</w:t>
            </w:r>
          </w:p>
        </w:tc>
        <w:tc>
          <w:tcPr>
            <w:tcW w:w="3213"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4,783,333.00</w:t>
            </w:r>
          </w:p>
        </w:tc>
        <w:tc>
          <w:tcPr>
            <w:tcW w:w="3213"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850,000.00</w:t>
            </w:r>
          </w:p>
        </w:tc>
      </w:tr>
      <w:tr w:rsidR="005E250D">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5E250D" w:rsidRDefault="005E250D" w:rsidP="005E250D">
            <w:pPr>
              <w:spacing w:before="40" w:after="40" w:line="240" w:lineRule="exact"/>
              <w:rPr>
                <w:rFonts w:ascii="宋体" w:eastAsia="宋体" w:hAnsi="宋体" w:cs="宋体"/>
                <w:sz w:val="18"/>
                <w:szCs w:val="18"/>
              </w:rPr>
            </w:pPr>
            <w:r>
              <w:rPr>
                <w:rFonts w:ascii="宋体" w:eastAsia="宋体" w:hAnsi="宋体" w:cs="宋体"/>
                <w:sz w:val="18"/>
                <w:szCs w:val="18"/>
              </w:rPr>
              <w:t>第二年</w:t>
            </w:r>
          </w:p>
        </w:tc>
        <w:tc>
          <w:tcPr>
            <w:tcW w:w="3213"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4,783,333.00</w:t>
            </w:r>
          </w:p>
        </w:tc>
      </w:tr>
    </w:tbl>
    <w:p w:rsidR="00A27D66" w:rsidRDefault="00A2119D">
      <w:pPr>
        <w:spacing w:before="100" w:after="100" w:line="240" w:lineRule="exact"/>
        <w:rPr>
          <w:rFonts w:ascii="宋体" w:eastAsia="宋体" w:hAnsi="宋体" w:cs="宋体"/>
          <w:sz w:val="18"/>
          <w:szCs w:val="18"/>
        </w:rPr>
      </w:pPr>
      <w:r>
        <w:rPr>
          <w:rFonts w:ascii="宋体" w:eastAsia="宋体" w:hAnsi="宋体" w:cs="宋体"/>
          <w:sz w:val="18"/>
          <w:szCs w:val="18"/>
        </w:rPr>
        <w:t>未折现</w:t>
      </w:r>
      <w:proofErr w:type="gramStart"/>
      <w:r>
        <w:rPr>
          <w:rFonts w:ascii="宋体" w:eastAsia="宋体" w:hAnsi="宋体" w:cs="宋体"/>
          <w:sz w:val="18"/>
          <w:szCs w:val="18"/>
        </w:rPr>
        <w:t>租赁收</w:t>
      </w:r>
      <w:proofErr w:type="gramEnd"/>
      <w:r>
        <w:rPr>
          <w:rFonts w:ascii="宋体" w:eastAsia="宋体" w:hAnsi="宋体" w:cs="宋体"/>
          <w:sz w:val="18"/>
          <w:szCs w:val="18"/>
        </w:rPr>
        <w:t>款额与租赁投资净额的调节表</w:t>
      </w:r>
    </w:p>
    <w:tbl>
      <w:tblPr>
        <w:tblW w:w="5000" w:type="pct"/>
        <w:tblCellMar>
          <w:left w:w="0" w:type="dxa"/>
          <w:right w:w="0" w:type="dxa"/>
        </w:tblCellMar>
        <w:tblLook w:val="04A0" w:firstRow="1" w:lastRow="0" w:firstColumn="1" w:lastColumn="0" w:noHBand="0" w:noVBand="1"/>
      </w:tblPr>
      <w:tblGrid>
        <w:gridCol w:w="6445"/>
        <w:gridCol w:w="3172"/>
      </w:tblGrid>
      <w:tr w:rsidR="00A2119D" w:rsidRPr="00F0555B">
        <w:trPr>
          <w:divId w:val="705760839"/>
          <w:cantSplit/>
          <w:trHeight w:val="397"/>
          <w:tblHeader/>
        </w:trPr>
        <w:tc>
          <w:tcPr>
            <w:tcW w:w="33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19D" w:rsidRPr="00F0555B" w:rsidRDefault="00A2119D">
            <w:pPr>
              <w:pStyle w:val="a3"/>
              <w:spacing w:before="0" w:beforeAutospacing="0" w:after="0" w:afterAutospacing="0"/>
              <w:jc w:val="center"/>
              <w:rPr>
                <w:rFonts w:cs="Times New Roman"/>
                <w:sz w:val="18"/>
                <w:szCs w:val="18"/>
              </w:rPr>
            </w:pPr>
            <w:r w:rsidRPr="00F0555B">
              <w:rPr>
                <w:rFonts w:cs="Times New Roman" w:hint="eastAsia"/>
                <w:snapToGrid w:val="0"/>
                <w:color w:val="000000"/>
                <w:sz w:val="18"/>
                <w:szCs w:val="18"/>
              </w:rPr>
              <w:t>项目</w:t>
            </w:r>
          </w:p>
        </w:tc>
        <w:tc>
          <w:tcPr>
            <w:tcW w:w="16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19D" w:rsidRPr="00F0555B" w:rsidRDefault="00A2119D">
            <w:pPr>
              <w:pStyle w:val="a3"/>
              <w:spacing w:before="0" w:beforeAutospacing="0" w:after="0" w:afterAutospacing="0"/>
              <w:jc w:val="center"/>
              <w:rPr>
                <w:rFonts w:cs="Times New Roman"/>
                <w:sz w:val="18"/>
                <w:szCs w:val="18"/>
              </w:rPr>
            </w:pPr>
            <w:r w:rsidRPr="00F0555B">
              <w:rPr>
                <w:rFonts w:cs="Times New Roman" w:hint="eastAsia"/>
                <w:snapToGrid w:val="0"/>
                <w:color w:val="000000"/>
                <w:sz w:val="18"/>
                <w:szCs w:val="18"/>
              </w:rPr>
              <w:t>金额</w:t>
            </w:r>
          </w:p>
        </w:tc>
      </w:tr>
      <w:tr w:rsidR="005E250D" w:rsidRPr="00F0555B">
        <w:trPr>
          <w:divId w:val="705760839"/>
          <w:cantSplit/>
          <w:trHeight w:val="397"/>
        </w:trPr>
        <w:tc>
          <w:tcPr>
            <w:tcW w:w="33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250D" w:rsidRPr="00F0555B" w:rsidRDefault="005E250D" w:rsidP="005E250D">
            <w:pPr>
              <w:pStyle w:val="a3"/>
              <w:spacing w:before="0" w:beforeAutospacing="0" w:after="0" w:afterAutospacing="0"/>
              <w:jc w:val="both"/>
              <w:rPr>
                <w:rFonts w:cs="Times New Roman"/>
                <w:sz w:val="18"/>
                <w:szCs w:val="18"/>
              </w:rPr>
            </w:pPr>
            <w:r w:rsidRPr="00F0555B">
              <w:rPr>
                <w:rFonts w:cs="Times New Roman" w:hint="eastAsia"/>
                <w:snapToGrid w:val="0"/>
                <w:color w:val="000000"/>
                <w:sz w:val="18"/>
                <w:szCs w:val="18"/>
              </w:rPr>
              <w:t>未折现</w:t>
            </w:r>
            <w:proofErr w:type="gramStart"/>
            <w:r w:rsidRPr="00F0555B">
              <w:rPr>
                <w:rFonts w:cs="Times New Roman" w:hint="eastAsia"/>
                <w:snapToGrid w:val="0"/>
                <w:color w:val="000000"/>
                <w:sz w:val="18"/>
                <w:szCs w:val="18"/>
              </w:rPr>
              <w:t>租赁收</w:t>
            </w:r>
            <w:proofErr w:type="gramEnd"/>
            <w:r w:rsidRPr="00F0555B">
              <w:rPr>
                <w:rFonts w:cs="Times New Roman" w:hint="eastAsia"/>
                <w:snapToGrid w:val="0"/>
                <w:color w:val="000000"/>
                <w:sz w:val="18"/>
                <w:szCs w:val="18"/>
              </w:rPr>
              <w:t>款额</w:t>
            </w:r>
          </w:p>
        </w:tc>
        <w:tc>
          <w:tcPr>
            <w:tcW w:w="16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250D" w:rsidRPr="00F0555B" w:rsidRDefault="005E250D" w:rsidP="005E250D">
            <w:pPr>
              <w:pStyle w:val="a3"/>
              <w:spacing w:before="0" w:beforeAutospacing="0" w:after="0" w:afterAutospacing="0"/>
              <w:jc w:val="right"/>
              <w:rPr>
                <w:rFonts w:cs="Times New Roman"/>
                <w:sz w:val="18"/>
                <w:szCs w:val="18"/>
              </w:rPr>
            </w:pPr>
            <w:r w:rsidRPr="000C166D">
              <w:rPr>
                <w:rFonts w:cs="Times New Roman"/>
                <w:snapToGrid w:val="0"/>
                <w:color w:val="000000"/>
                <w:sz w:val="18"/>
                <w:szCs w:val="18"/>
              </w:rPr>
              <w:t>4,783,333.00</w:t>
            </w:r>
          </w:p>
        </w:tc>
      </w:tr>
      <w:tr w:rsidR="005E250D" w:rsidRPr="00F0555B">
        <w:trPr>
          <w:divId w:val="705760839"/>
          <w:cantSplit/>
          <w:trHeight w:val="397"/>
        </w:trPr>
        <w:tc>
          <w:tcPr>
            <w:tcW w:w="33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250D" w:rsidRPr="00F0555B" w:rsidRDefault="005E250D" w:rsidP="005E250D">
            <w:pPr>
              <w:pStyle w:val="a3"/>
              <w:spacing w:before="0" w:beforeAutospacing="0" w:after="0" w:afterAutospacing="0"/>
              <w:jc w:val="both"/>
              <w:rPr>
                <w:rFonts w:cs="Times New Roman"/>
                <w:sz w:val="18"/>
                <w:szCs w:val="18"/>
              </w:rPr>
            </w:pPr>
            <w:r w:rsidRPr="00F0555B">
              <w:rPr>
                <w:rFonts w:cs="Times New Roman" w:hint="eastAsia"/>
                <w:snapToGrid w:val="0"/>
                <w:color w:val="000000"/>
                <w:sz w:val="18"/>
                <w:szCs w:val="18"/>
              </w:rPr>
              <w:t>减：与</w:t>
            </w:r>
            <w:proofErr w:type="gramStart"/>
            <w:r w:rsidRPr="00F0555B">
              <w:rPr>
                <w:rFonts w:cs="Times New Roman" w:hint="eastAsia"/>
                <w:snapToGrid w:val="0"/>
                <w:color w:val="000000"/>
                <w:sz w:val="18"/>
                <w:szCs w:val="18"/>
              </w:rPr>
              <w:t>租赁收</w:t>
            </w:r>
            <w:proofErr w:type="gramEnd"/>
            <w:r w:rsidRPr="00F0555B">
              <w:rPr>
                <w:rFonts w:cs="Times New Roman" w:hint="eastAsia"/>
                <w:snapToGrid w:val="0"/>
                <w:color w:val="000000"/>
                <w:sz w:val="18"/>
                <w:szCs w:val="18"/>
              </w:rPr>
              <w:t>款额相关的未实现融资收益</w:t>
            </w:r>
          </w:p>
        </w:tc>
        <w:tc>
          <w:tcPr>
            <w:tcW w:w="16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250D" w:rsidRPr="00F0555B" w:rsidRDefault="005E250D" w:rsidP="005E250D">
            <w:pPr>
              <w:pStyle w:val="a3"/>
              <w:spacing w:before="0" w:beforeAutospacing="0" w:after="0" w:afterAutospacing="0"/>
              <w:jc w:val="right"/>
              <w:rPr>
                <w:rFonts w:cs="Times New Roman"/>
                <w:sz w:val="18"/>
                <w:szCs w:val="18"/>
              </w:rPr>
            </w:pPr>
            <w:r w:rsidRPr="00F0555B">
              <w:rPr>
                <w:rFonts w:cs="Times New Roman"/>
                <w:snapToGrid w:val="0"/>
                <w:color w:val="000000"/>
                <w:sz w:val="18"/>
                <w:szCs w:val="18"/>
              </w:rPr>
              <w:t>106,150.80</w:t>
            </w:r>
          </w:p>
        </w:tc>
      </w:tr>
      <w:tr w:rsidR="005E250D" w:rsidRPr="00F0555B">
        <w:trPr>
          <w:divId w:val="705760839"/>
          <w:cantSplit/>
          <w:trHeight w:val="397"/>
        </w:trPr>
        <w:tc>
          <w:tcPr>
            <w:tcW w:w="33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250D" w:rsidRPr="00F0555B" w:rsidRDefault="005E250D" w:rsidP="005E250D">
            <w:pPr>
              <w:pStyle w:val="a3"/>
              <w:spacing w:before="0" w:beforeAutospacing="0" w:after="0" w:afterAutospacing="0"/>
              <w:jc w:val="both"/>
              <w:rPr>
                <w:rFonts w:cs="Times New Roman"/>
                <w:sz w:val="18"/>
                <w:szCs w:val="18"/>
              </w:rPr>
            </w:pPr>
            <w:r w:rsidRPr="00F0555B">
              <w:rPr>
                <w:rFonts w:cs="Times New Roman" w:hint="eastAsia"/>
                <w:snapToGrid w:val="0"/>
                <w:color w:val="000000"/>
                <w:sz w:val="18"/>
                <w:szCs w:val="18"/>
              </w:rPr>
              <w:t>加：未担保余值的现值</w:t>
            </w:r>
          </w:p>
        </w:tc>
        <w:tc>
          <w:tcPr>
            <w:tcW w:w="16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250D" w:rsidRPr="00F0555B" w:rsidRDefault="005E250D" w:rsidP="005E250D">
            <w:pPr>
              <w:pStyle w:val="a3"/>
              <w:spacing w:before="0" w:beforeAutospacing="0" w:after="0" w:afterAutospacing="0"/>
              <w:jc w:val="right"/>
              <w:rPr>
                <w:rFonts w:cs="Times New Roman"/>
                <w:sz w:val="18"/>
                <w:szCs w:val="18"/>
              </w:rPr>
            </w:pPr>
            <w:r w:rsidRPr="00F0555B">
              <w:rPr>
                <w:rFonts w:cs="Times New Roman"/>
                <w:snapToGrid w:val="0"/>
                <w:color w:val="000000"/>
                <w:sz w:val="18"/>
                <w:szCs w:val="18"/>
              </w:rPr>
              <w:t xml:space="preserve">-   </w:t>
            </w:r>
          </w:p>
        </w:tc>
      </w:tr>
      <w:tr w:rsidR="005E250D" w:rsidRPr="00F0555B">
        <w:trPr>
          <w:divId w:val="705760839"/>
          <w:cantSplit/>
          <w:trHeight w:val="397"/>
        </w:trPr>
        <w:tc>
          <w:tcPr>
            <w:tcW w:w="33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E250D" w:rsidRPr="00F0555B" w:rsidRDefault="005E250D" w:rsidP="005E250D">
            <w:pPr>
              <w:pStyle w:val="a3"/>
              <w:spacing w:before="0" w:beforeAutospacing="0" w:after="0" w:afterAutospacing="0"/>
              <w:jc w:val="both"/>
              <w:rPr>
                <w:rFonts w:cs="Times New Roman"/>
                <w:sz w:val="18"/>
                <w:szCs w:val="18"/>
              </w:rPr>
            </w:pPr>
            <w:r w:rsidRPr="00F0555B">
              <w:rPr>
                <w:rFonts w:cs="Times New Roman" w:hint="eastAsia"/>
                <w:snapToGrid w:val="0"/>
                <w:color w:val="000000"/>
                <w:sz w:val="18"/>
                <w:szCs w:val="18"/>
              </w:rPr>
              <w:t>租赁投资净额</w:t>
            </w:r>
          </w:p>
        </w:tc>
        <w:tc>
          <w:tcPr>
            <w:tcW w:w="16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E250D" w:rsidRPr="00F0555B" w:rsidRDefault="005E250D" w:rsidP="005E250D">
            <w:pPr>
              <w:pStyle w:val="a3"/>
              <w:spacing w:before="0" w:beforeAutospacing="0" w:after="0" w:afterAutospacing="0"/>
              <w:jc w:val="right"/>
              <w:rPr>
                <w:rFonts w:cs="Times New Roman"/>
                <w:sz w:val="18"/>
                <w:szCs w:val="18"/>
              </w:rPr>
            </w:pPr>
            <w:r w:rsidRPr="000C166D">
              <w:rPr>
                <w:rFonts w:cs="Times New Roman"/>
                <w:snapToGrid w:val="0"/>
                <w:color w:val="000000"/>
                <w:sz w:val="18"/>
                <w:szCs w:val="18"/>
              </w:rPr>
              <w:t>4,677,182.20</w:t>
            </w:r>
          </w:p>
        </w:tc>
      </w:tr>
    </w:tbl>
    <w:p w:rsidR="00A27D66" w:rsidRDefault="00A2119D">
      <w:pPr>
        <w:keepNext/>
        <w:keepLines/>
        <w:spacing w:before="300" w:after="300" w:line="280" w:lineRule="exact"/>
        <w:outlineLvl w:val="3"/>
        <w:rPr>
          <w:rFonts w:ascii="宋体" w:eastAsia="宋体" w:hAnsi="宋体" w:cs="宋体"/>
          <w:b/>
          <w:bCs/>
          <w:szCs w:val="21"/>
        </w:rPr>
      </w:pPr>
      <w:bookmarkStart w:id="355" w:name="_Toc989238"/>
      <w:r>
        <w:rPr>
          <w:rFonts w:ascii="宋体" w:eastAsia="宋体" w:hAnsi="宋体" w:cs="宋体"/>
          <w:b/>
          <w:bCs/>
          <w:szCs w:val="21"/>
        </w:rPr>
        <w:t>（3） 作为生产商或经销商确认融资租赁销售损益</w:t>
      </w:r>
      <w:bookmarkEnd w:id="355"/>
    </w:p>
    <w:p w:rsidR="00745844" w:rsidRDefault="00A2119D" w:rsidP="00745844">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745844" w:rsidRDefault="00745844" w:rsidP="00745844">
      <w:pPr>
        <w:pStyle w:val="2"/>
        <w:spacing w:before="300" w:after="300" w:line="320" w:lineRule="exact"/>
        <w:rPr>
          <w:rFonts w:ascii="宋体" w:eastAsia="宋体" w:hAnsi="宋体" w:cs="宋体"/>
          <w:b/>
          <w:bCs/>
          <w:sz w:val="24"/>
          <w:szCs w:val="24"/>
        </w:rPr>
      </w:pPr>
      <w:bookmarkStart w:id="356" w:name="_Toc989239"/>
      <w:r>
        <w:rPr>
          <w:rFonts w:ascii="宋体" w:eastAsia="宋体" w:hAnsi="宋体" w:cs="宋体" w:hint="eastAsia"/>
          <w:b/>
          <w:bCs/>
          <w:sz w:val="24"/>
          <w:szCs w:val="24"/>
        </w:rPr>
        <w:t>八、研发支出</w:t>
      </w:r>
      <w:bookmarkEnd w:id="356"/>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5"/>
        <w:gridCol w:w="3215"/>
        <w:gridCol w:w="3215"/>
      </w:tblGrid>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上期发生额</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人员人工</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45,387,378.87</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40,711,843.53</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直接投入</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29,771,246.95</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29,574,329.08</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咨询服务费</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7,087,348.69</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13,178,688.93</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委托开发费</w:t>
            </w:r>
          </w:p>
        </w:tc>
        <w:tc>
          <w:tcPr>
            <w:tcW w:w="321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190,000.00</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7,802,548.56</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7,423,040.70</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1,695,087.88</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1,284,796.89</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专利维护费</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365,457.32</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440,880.00</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试验检验费</w:t>
            </w:r>
          </w:p>
        </w:tc>
        <w:tc>
          <w:tcPr>
            <w:tcW w:w="321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95,630.15</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租赁费</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1,049,365.94</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226,125.00</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技术服务费</w:t>
            </w:r>
          </w:p>
        </w:tc>
        <w:tc>
          <w:tcPr>
            <w:tcW w:w="321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11,320.75</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1,924,115.24</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1,357,461.92</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95,082,549.45</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94,494,116.95</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其中：费用化研发支出</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95,082,549.45</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94,494,116.95</w:t>
            </w:r>
          </w:p>
        </w:tc>
      </w:tr>
    </w:tbl>
    <w:p w:rsidR="00745844" w:rsidRDefault="00745844" w:rsidP="00745844">
      <w:pPr>
        <w:pStyle w:val="2"/>
        <w:spacing w:before="300" w:after="300" w:line="320" w:lineRule="exact"/>
        <w:rPr>
          <w:rFonts w:ascii="宋体" w:eastAsia="宋体" w:hAnsi="宋体" w:cs="宋体"/>
          <w:b/>
          <w:bCs/>
          <w:sz w:val="24"/>
          <w:szCs w:val="24"/>
        </w:rPr>
      </w:pPr>
      <w:bookmarkStart w:id="357" w:name="_Toc989240"/>
      <w:r>
        <w:rPr>
          <w:rFonts w:ascii="宋体" w:eastAsia="宋体" w:hAnsi="宋体" w:cs="宋体" w:hint="eastAsia"/>
          <w:b/>
          <w:bCs/>
          <w:sz w:val="24"/>
          <w:szCs w:val="24"/>
        </w:rPr>
        <w:t>九、合并范围的变更</w:t>
      </w:r>
      <w:bookmarkEnd w:id="357"/>
    </w:p>
    <w:p w:rsidR="00745844" w:rsidRDefault="00745844" w:rsidP="00745844">
      <w:pPr>
        <w:pStyle w:val="3"/>
        <w:spacing w:line="280" w:lineRule="exact"/>
        <w:jc w:val="left"/>
        <w:rPr>
          <w:rFonts w:ascii="宋体" w:hAnsi="宋体" w:cs="宋体"/>
          <w:b/>
          <w:bCs/>
        </w:rPr>
      </w:pPr>
      <w:bookmarkStart w:id="358" w:name="_Toc989241"/>
      <w:r>
        <w:rPr>
          <w:rFonts w:ascii="宋体" w:hAnsi="宋体" w:cs="宋体" w:hint="eastAsia"/>
          <w:b/>
          <w:bCs/>
        </w:rPr>
        <w:t>1、非同</w:t>
      </w:r>
      <w:proofErr w:type="gramStart"/>
      <w:r>
        <w:rPr>
          <w:rFonts w:ascii="宋体" w:hAnsi="宋体" w:cs="宋体" w:hint="eastAsia"/>
          <w:b/>
          <w:bCs/>
        </w:rPr>
        <w:t>一控制</w:t>
      </w:r>
      <w:proofErr w:type="gramEnd"/>
      <w:r>
        <w:rPr>
          <w:rFonts w:ascii="宋体" w:hAnsi="宋体" w:cs="宋体" w:hint="eastAsia"/>
          <w:b/>
          <w:bCs/>
        </w:rPr>
        <w:t>下企业合并</w:t>
      </w:r>
      <w:bookmarkEnd w:id="358"/>
    </w:p>
    <w:p w:rsidR="00745844" w:rsidRDefault="00745844" w:rsidP="00745844">
      <w:pPr>
        <w:keepNext/>
        <w:keepLines/>
        <w:spacing w:before="300" w:after="300" w:line="280" w:lineRule="exact"/>
        <w:outlineLvl w:val="3"/>
        <w:rPr>
          <w:rFonts w:ascii="宋体" w:eastAsia="宋体" w:hAnsi="宋体" w:cs="宋体"/>
          <w:b/>
          <w:bCs/>
          <w:sz w:val="18"/>
          <w:szCs w:val="18"/>
        </w:rPr>
      </w:pPr>
      <w:bookmarkStart w:id="359" w:name="_Toc989242"/>
      <w:r>
        <w:rPr>
          <w:rFonts w:ascii="宋体" w:eastAsia="宋体" w:hAnsi="宋体" w:cs="宋体" w:hint="eastAsia"/>
          <w:b/>
          <w:bCs/>
          <w:sz w:val="18"/>
          <w:szCs w:val="18"/>
        </w:rPr>
        <w:t>（1） 本期发生的非同</w:t>
      </w:r>
      <w:proofErr w:type="gramStart"/>
      <w:r>
        <w:rPr>
          <w:rFonts w:ascii="宋体" w:eastAsia="宋体" w:hAnsi="宋体" w:cs="宋体" w:hint="eastAsia"/>
          <w:b/>
          <w:bCs/>
          <w:sz w:val="18"/>
          <w:szCs w:val="18"/>
        </w:rPr>
        <w:t>一控制</w:t>
      </w:r>
      <w:proofErr w:type="gramEnd"/>
      <w:r>
        <w:rPr>
          <w:rFonts w:ascii="宋体" w:eastAsia="宋体" w:hAnsi="宋体" w:cs="宋体" w:hint="eastAsia"/>
          <w:b/>
          <w:bCs/>
          <w:sz w:val="18"/>
          <w:szCs w:val="18"/>
        </w:rPr>
        <w:t>下企业合并</w:t>
      </w:r>
      <w:bookmarkEnd w:id="359"/>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64"/>
        <w:gridCol w:w="964"/>
        <w:gridCol w:w="964"/>
        <w:gridCol w:w="964"/>
        <w:gridCol w:w="964"/>
        <w:gridCol w:w="965"/>
        <w:gridCol w:w="965"/>
        <w:gridCol w:w="965"/>
        <w:gridCol w:w="965"/>
        <w:gridCol w:w="965"/>
      </w:tblGrid>
      <w:tr w:rsidR="00745844" w:rsidTr="00745844">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lastRenderedPageBreak/>
              <w:t>被购买方名称</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股权取得时点</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股权取得成本</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股权取得比例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股权取得方式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购买日</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购买日的确定依据</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购买日至</w:t>
            </w:r>
            <w:proofErr w:type="gramStart"/>
            <w:r>
              <w:rPr>
                <w:rFonts w:ascii="宋体" w:eastAsia="宋体" w:hAnsi="宋体" w:cs="宋体" w:hint="eastAsia"/>
                <w:sz w:val="18"/>
                <w:szCs w:val="18"/>
              </w:rPr>
              <w:t>期末被</w:t>
            </w:r>
            <w:proofErr w:type="gramEnd"/>
            <w:r>
              <w:rPr>
                <w:rFonts w:ascii="宋体" w:eastAsia="宋体" w:hAnsi="宋体" w:cs="宋体" w:hint="eastAsia"/>
                <w:sz w:val="18"/>
                <w:szCs w:val="18"/>
              </w:rPr>
              <w:t>购买方的收入</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购买日至</w:t>
            </w:r>
            <w:proofErr w:type="gramStart"/>
            <w:r>
              <w:rPr>
                <w:rFonts w:ascii="宋体" w:eastAsia="宋体" w:hAnsi="宋体" w:cs="宋体" w:hint="eastAsia"/>
                <w:sz w:val="18"/>
                <w:szCs w:val="18"/>
              </w:rPr>
              <w:t>期末被</w:t>
            </w:r>
            <w:proofErr w:type="gramEnd"/>
            <w:r>
              <w:rPr>
                <w:rFonts w:ascii="宋体" w:eastAsia="宋体" w:hAnsi="宋体" w:cs="宋体" w:hint="eastAsia"/>
                <w:sz w:val="18"/>
                <w:szCs w:val="18"/>
              </w:rPr>
              <w:t>购买方的净利润</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购买日至</w:t>
            </w:r>
            <w:proofErr w:type="gramStart"/>
            <w:r>
              <w:rPr>
                <w:rFonts w:ascii="宋体" w:eastAsia="宋体" w:hAnsi="宋体" w:cs="宋体" w:hint="eastAsia"/>
                <w:sz w:val="18"/>
                <w:szCs w:val="18"/>
              </w:rPr>
              <w:t>期末被</w:t>
            </w:r>
            <w:proofErr w:type="gramEnd"/>
            <w:r>
              <w:rPr>
                <w:rFonts w:ascii="宋体" w:eastAsia="宋体" w:hAnsi="宋体" w:cs="宋体" w:hint="eastAsia"/>
                <w:sz w:val="18"/>
                <w:szCs w:val="18"/>
              </w:rPr>
              <w:t>购买方的现金流</w:t>
            </w:r>
          </w:p>
        </w:tc>
      </w:tr>
      <w:tr w:rsidR="00745844" w:rsidTr="00745844">
        <w:trPr>
          <w:trHeight w:val="240"/>
        </w:trPr>
        <w:tc>
          <w:tcPr>
            <w:tcW w:w="96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北京聚能合源科技有限公司</w:t>
            </w:r>
          </w:p>
        </w:tc>
        <w:tc>
          <w:tcPr>
            <w:tcW w:w="96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2024年01月03日</w:t>
            </w:r>
          </w:p>
        </w:tc>
        <w:tc>
          <w:tcPr>
            <w:tcW w:w="96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11,111,100.00</w:t>
            </w:r>
          </w:p>
        </w:tc>
        <w:tc>
          <w:tcPr>
            <w:tcW w:w="96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收购</w:t>
            </w:r>
          </w:p>
        </w:tc>
        <w:tc>
          <w:tcPr>
            <w:tcW w:w="96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2024年01月03日</w:t>
            </w:r>
          </w:p>
        </w:tc>
        <w:tc>
          <w:tcPr>
            <w:tcW w:w="96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实际控制</w:t>
            </w:r>
          </w:p>
        </w:tc>
        <w:tc>
          <w:tcPr>
            <w:tcW w:w="96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4,218,786.25</w:t>
            </w:r>
          </w:p>
        </w:tc>
        <w:tc>
          <w:tcPr>
            <w:tcW w:w="96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-1,795,075.78</w:t>
            </w:r>
          </w:p>
        </w:tc>
        <w:tc>
          <w:tcPr>
            <w:tcW w:w="96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-3,300,244.88</w:t>
            </w:r>
          </w:p>
        </w:tc>
      </w:tr>
    </w:tbl>
    <w:p w:rsidR="00745844" w:rsidRDefault="00745844" w:rsidP="00745844">
      <w:pPr>
        <w:keepNext/>
        <w:keepLines/>
        <w:spacing w:before="300" w:after="300" w:line="280" w:lineRule="exact"/>
        <w:outlineLvl w:val="3"/>
        <w:rPr>
          <w:rFonts w:ascii="宋体" w:eastAsia="宋体" w:hAnsi="宋体" w:cs="宋体"/>
          <w:b/>
          <w:bCs/>
          <w:sz w:val="18"/>
          <w:szCs w:val="18"/>
        </w:rPr>
      </w:pPr>
      <w:bookmarkStart w:id="360" w:name="_Toc989243"/>
      <w:r>
        <w:rPr>
          <w:rFonts w:ascii="宋体" w:eastAsia="宋体" w:hAnsi="宋体" w:cs="宋体" w:hint="eastAsia"/>
          <w:b/>
          <w:bCs/>
          <w:sz w:val="18"/>
          <w:szCs w:val="18"/>
        </w:rPr>
        <w:t>（2） 合并成本及商誉</w:t>
      </w:r>
      <w:bookmarkEnd w:id="360"/>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822"/>
        <w:gridCol w:w="4823"/>
      </w:tblGrid>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合并成本</w:t>
            </w:r>
          </w:p>
        </w:tc>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center"/>
              <w:rPr>
                <w:rFonts w:ascii="宋体" w:eastAsia="宋体" w:hAnsi="宋体" w:cs="宋体"/>
                <w:sz w:val="18"/>
                <w:szCs w:val="18"/>
              </w:rPr>
            </w:pPr>
            <w:r>
              <w:rPr>
                <w:rFonts w:ascii="宋体" w:eastAsia="宋体" w:hAnsi="宋体" w:cs="宋体" w:hint="eastAsia"/>
                <w:sz w:val="18"/>
                <w:szCs w:val="18"/>
              </w:rPr>
              <w:t>北京聚能合源科技有限公司</w:t>
            </w: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--现金</w:t>
            </w:r>
          </w:p>
        </w:tc>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11,111,100.00</w:t>
            </w: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--非现金资产的公允价值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--发行或承担的债务的公允价值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--发行的权益</w:t>
            </w:r>
            <w:proofErr w:type="gramStart"/>
            <w:r>
              <w:rPr>
                <w:rFonts w:ascii="宋体" w:eastAsia="宋体" w:hAnsi="宋体" w:cs="宋体" w:hint="eastAsia"/>
                <w:sz w:val="18"/>
                <w:szCs w:val="18"/>
              </w:rPr>
              <w:t>性证券</w:t>
            </w:r>
            <w:proofErr w:type="gramEnd"/>
            <w:r>
              <w:rPr>
                <w:rFonts w:ascii="宋体" w:eastAsia="宋体" w:hAnsi="宋体" w:cs="宋体" w:hint="eastAsia"/>
                <w:sz w:val="18"/>
                <w:szCs w:val="18"/>
              </w:rPr>
              <w:t>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--或有对价的公允价值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--购买日之前持有的股权于购买日的公允价值</w:t>
            </w:r>
          </w:p>
        </w:tc>
        <w:tc>
          <w:tcPr>
            <w:tcW w:w="482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--其他</w:t>
            </w:r>
          </w:p>
        </w:tc>
        <w:tc>
          <w:tcPr>
            <w:tcW w:w="482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合并成本合计</w:t>
            </w:r>
          </w:p>
        </w:tc>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11,111,100.00</w:t>
            </w: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减：取得的可辨认净资产公允价值份额</w:t>
            </w:r>
          </w:p>
        </w:tc>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11,385,570.97</w:t>
            </w: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商誉/合并成本小于取得的可辨认净资产公允价值份额的金额</w:t>
            </w:r>
          </w:p>
        </w:tc>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274,470.97</w:t>
            </w:r>
          </w:p>
        </w:tc>
      </w:tr>
    </w:tbl>
    <w:p w:rsidR="00745844" w:rsidRDefault="00745844" w:rsidP="005E250D">
      <w:pPr>
        <w:spacing w:line="360" w:lineRule="auto"/>
        <w:rPr>
          <w:rFonts w:ascii="宋体" w:eastAsia="宋体" w:hAnsi="宋体" w:cs="宋体"/>
          <w:sz w:val="18"/>
          <w:szCs w:val="18"/>
        </w:rPr>
      </w:pPr>
      <w:r>
        <w:rPr>
          <w:rFonts w:ascii="宋体" w:eastAsia="宋体" w:hAnsi="宋体" w:cs="宋体" w:hint="eastAsia"/>
          <w:sz w:val="18"/>
          <w:szCs w:val="18"/>
        </w:rPr>
        <w:t>合并成本公允价值的确定方法：</w:t>
      </w:r>
    </w:p>
    <w:p w:rsidR="005E250D" w:rsidRPr="005E250D" w:rsidRDefault="005E250D" w:rsidP="005E250D">
      <w:pPr>
        <w:spacing w:line="360" w:lineRule="auto"/>
        <w:ind w:firstLineChars="200" w:firstLine="420"/>
        <w:rPr>
          <w:rFonts w:ascii="宋体" w:eastAsia="宋体" w:hAnsi="宋体" w:cs="宋体"/>
          <w:szCs w:val="21"/>
        </w:rPr>
      </w:pPr>
      <w:bookmarkStart w:id="361" w:name="_Toc989244"/>
      <w:r w:rsidRPr="005E250D">
        <w:rPr>
          <w:rFonts w:ascii="宋体" w:eastAsia="宋体" w:hAnsi="宋体" w:cs="宋体" w:hint="eastAsia"/>
          <w:szCs w:val="21"/>
        </w:rPr>
        <w:t>以中</w:t>
      </w:r>
      <w:proofErr w:type="gramStart"/>
      <w:r w:rsidRPr="005E250D">
        <w:rPr>
          <w:rFonts w:ascii="宋体" w:eastAsia="宋体" w:hAnsi="宋体" w:cs="宋体" w:hint="eastAsia"/>
          <w:szCs w:val="21"/>
        </w:rPr>
        <w:t>联资产</w:t>
      </w:r>
      <w:proofErr w:type="gramEnd"/>
      <w:r w:rsidRPr="005E250D">
        <w:rPr>
          <w:rFonts w:ascii="宋体" w:eastAsia="宋体" w:hAnsi="宋体" w:cs="宋体" w:hint="eastAsia"/>
          <w:szCs w:val="21"/>
        </w:rPr>
        <w:t>评估集团</w:t>
      </w:r>
      <w:r w:rsidRPr="005E250D">
        <w:rPr>
          <w:rFonts w:ascii="宋体" w:eastAsia="宋体" w:hAnsi="宋体" w:cs="宋体"/>
          <w:szCs w:val="21"/>
        </w:rPr>
        <w:t>(浙江)有限公司出具的评估意见为基础确定合并成本公允价值。</w:t>
      </w:r>
    </w:p>
    <w:p w:rsidR="00745844" w:rsidRDefault="00745844" w:rsidP="00745844">
      <w:pPr>
        <w:keepNext/>
        <w:keepLines/>
        <w:spacing w:before="300" w:after="300" w:line="280" w:lineRule="exact"/>
        <w:outlineLvl w:val="3"/>
        <w:rPr>
          <w:rFonts w:ascii="宋体" w:eastAsia="宋体" w:hAnsi="宋体" w:cs="宋体"/>
          <w:b/>
          <w:bCs/>
          <w:sz w:val="18"/>
          <w:szCs w:val="18"/>
        </w:rPr>
      </w:pPr>
      <w:r>
        <w:rPr>
          <w:rFonts w:ascii="宋体" w:eastAsia="宋体" w:hAnsi="宋体" w:cs="宋体" w:hint="eastAsia"/>
          <w:b/>
          <w:bCs/>
          <w:sz w:val="18"/>
          <w:szCs w:val="18"/>
        </w:rPr>
        <w:t>（3） 被购买方于购买日可辨认资产、负债</w:t>
      </w:r>
      <w:bookmarkEnd w:id="361"/>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5"/>
        <w:gridCol w:w="3215"/>
        <w:gridCol w:w="3215"/>
      </w:tblGrid>
      <w:tr w:rsidR="00745844" w:rsidTr="00745844">
        <w:trPr>
          <w:trHeight w:val="240"/>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6426" w:type="dxa"/>
            <w:gridSpan w:val="2"/>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center"/>
              <w:rPr>
                <w:rFonts w:ascii="宋体" w:eastAsia="宋体" w:hAnsi="宋体" w:cs="宋体"/>
                <w:sz w:val="18"/>
                <w:szCs w:val="18"/>
              </w:rPr>
            </w:pPr>
            <w:r>
              <w:rPr>
                <w:rFonts w:ascii="宋体" w:eastAsia="宋体" w:hAnsi="宋体" w:cs="宋体" w:hint="eastAsia"/>
                <w:sz w:val="18"/>
                <w:szCs w:val="18"/>
              </w:rPr>
              <w:t>北京聚能合源科技有限公司</w:t>
            </w:r>
          </w:p>
        </w:tc>
      </w:tr>
      <w:tr w:rsidR="00745844" w:rsidTr="00745844">
        <w:trPr>
          <w:trHeight w:val="240"/>
        </w:trPr>
        <w:tc>
          <w:tcPr>
            <w:tcW w:w="3213"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购买日公允价值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购买日账面价值</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资产：</w:t>
            </w:r>
          </w:p>
        </w:tc>
        <w:tc>
          <w:tcPr>
            <w:tcW w:w="321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3,742,020.15</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3,742,020.15</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应收款项</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1,629,931.19</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1,454,852.58</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2,786,075.63</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1,601,221.63</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546,003.32</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231,098.29</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5,493,900.00</w:t>
            </w:r>
          </w:p>
        </w:tc>
        <w:tc>
          <w:tcPr>
            <w:tcW w:w="321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334,365.59</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334,365.59</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212,828.96</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212,828.96</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34,936.54</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34,936.54</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247,690.30</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247,690.30</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104,325.37</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104,325.37</w:t>
            </w:r>
          </w:p>
        </w:tc>
      </w:tr>
      <w:tr w:rsidR="00745844" w:rsidTr="004F7F62">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负债：</w:t>
            </w:r>
          </w:p>
        </w:tc>
        <w:tc>
          <w:tcPr>
            <w:tcW w:w="321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借款</w:t>
            </w:r>
          </w:p>
        </w:tc>
        <w:tc>
          <w:tcPr>
            <w:tcW w:w="321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应付款项</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1,716,074.34</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1,716,074.34</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61,922.58</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61,922.58</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lastRenderedPageBreak/>
              <w:t>合同负债</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878,991.82</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878,991.82</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35,563.93</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35,563.93</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723,502.69</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723,502.69</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58,675.98</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58,675.98</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一年内到期的</w:t>
            </w:r>
          </w:p>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157,505.80</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157,505.80</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114,268.94</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114,268.94</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净资产</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11,385,570.97</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4,216,833.33</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减：少数股东权益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取得的净资产</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11,385,570.97</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4,216,833.33</w:t>
            </w:r>
          </w:p>
        </w:tc>
      </w:tr>
    </w:tbl>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可辨认资产、负债公允价值的确定方法：</w:t>
      </w:r>
    </w:p>
    <w:p w:rsidR="00745844" w:rsidRPr="00892FDB" w:rsidRDefault="00745844" w:rsidP="00892FDB">
      <w:pPr>
        <w:pStyle w:val="a3"/>
        <w:spacing w:before="0" w:beforeAutospacing="0" w:after="0" w:afterAutospacing="0" w:line="360" w:lineRule="auto"/>
        <w:ind w:firstLine="420"/>
        <w:jc w:val="both"/>
        <w:rPr>
          <w:rFonts w:cs="Times New Roman"/>
          <w:color w:val="000000"/>
          <w:sz w:val="21"/>
          <w:szCs w:val="21"/>
        </w:rPr>
      </w:pPr>
      <w:r w:rsidRPr="00892FDB">
        <w:rPr>
          <w:rFonts w:cs="Times New Roman" w:hint="eastAsia"/>
          <w:color w:val="000000"/>
          <w:sz w:val="21"/>
          <w:szCs w:val="21"/>
        </w:rPr>
        <w:t>本公司采用估值技术来确定北京聚能合源科技有限公司的资产负债于购买日的公允价值。主要资产的评估方法及其关键假设列示如下：固定资产、无形资产等资产的评估方法为资产基础法。</w:t>
      </w:r>
    </w:p>
    <w:p w:rsidR="00745844" w:rsidRDefault="00745844" w:rsidP="00745844">
      <w:pPr>
        <w:keepNext/>
        <w:keepLines/>
        <w:spacing w:before="300" w:after="300" w:line="280" w:lineRule="exact"/>
        <w:outlineLvl w:val="3"/>
        <w:rPr>
          <w:rFonts w:ascii="宋体" w:eastAsia="宋体" w:hAnsi="宋体" w:cs="宋体"/>
          <w:b/>
          <w:bCs/>
          <w:sz w:val="18"/>
          <w:szCs w:val="18"/>
        </w:rPr>
      </w:pPr>
      <w:bookmarkStart w:id="362" w:name="_Toc989245"/>
      <w:r>
        <w:rPr>
          <w:rFonts w:ascii="宋体" w:eastAsia="宋体" w:hAnsi="宋体" w:cs="宋体" w:hint="eastAsia"/>
          <w:b/>
          <w:bCs/>
          <w:sz w:val="18"/>
          <w:szCs w:val="18"/>
        </w:rPr>
        <w:t>（4） 购买日之前持有的股权按照公允价值重新计量产生的利得或损失</w:t>
      </w:r>
      <w:bookmarkEnd w:id="362"/>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是否存在通过多次交易分步实现企业合并且在报告期内取得控制权的交易</w:t>
      </w:r>
    </w:p>
    <w:p w:rsidR="006C626B" w:rsidRDefault="00745844" w:rsidP="006C626B">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□是 </w:t>
      </w:r>
      <w:r>
        <w:rPr>
          <w:rFonts w:ascii="宋体" w:eastAsia="宋体" w:hAnsi="宋体" w:cs="宋体"/>
          <w:sz w:val="18"/>
          <w:szCs w:val="18"/>
        </w:rPr>
        <w:sym w:font="Wingdings 2" w:char="F052"/>
      </w:r>
      <w:r>
        <w:rPr>
          <w:rFonts w:ascii="宋体" w:eastAsia="宋体" w:hAnsi="宋体" w:cs="宋体" w:hint="eastAsia"/>
          <w:sz w:val="18"/>
          <w:szCs w:val="18"/>
        </w:rPr>
        <w:t>否</w:t>
      </w:r>
      <w:bookmarkStart w:id="363" w:name="_Toc989246"/>
    </w:p>
    <w:p w:rsidR="00745844" w:rsidRDefault="00745844" w:rsidP="006C626B">
      <w:pPr>
        <w:pStyle w:val="3"/>
        <w:spacing w:line="280" w:lineRule="exact"/>
        <w:jc w:val="left"/>
        <w:rPr>
          <w:rFonts w:ascii="宋体" w:hAnsi="宋体" w:cs="宋体"/>
          <w:b/>
          <w:bCs/>
        </w:rPr>
      </w:pPr>
      <w:r>
        <w:rPr>
          <w:rFonts w:ascii="宋体" w:hAnsi="宋体" w:cs="宋体" w:hint="eastAsia"/>
          <w:b/>
          <w:bCs/>
        </w:rPr>
        <w:t>2、同</w:t>
      </w:r>
      <w:proofErr w:type="gramStart"/>
      <w:r>
        <w:rPr>
          <w:rFonts w:ascii="宋体" w:hAnsi="宋体" w:cs="宋体" w:hint="eastAsia"/>
          <w:b/>
          <w:bCs/>
        </w:rPr>
        <w:t>一控制</w:t>
      </w:r>
      <w:proofErr w:type="gramEnd"/>
      <w:r>
        <w:rPr>
          <w:rFonts w:ascii="宋体" w:hAnsi="宋体" w:cs="宋体" w:hint="eastAsia"/>
          <w:b/>
          <w:bCs/>
        </w:rPr>
        <w:t>下企业合并</w:t>
      </w:r>
      <w:bookmarkEnd w:id="363"/>
    </w:p>
    <w:p w:rsidR="00745844" w:rsidRDefault="00745844" w:rsidP="00745844">
      <w:pPr>
        <w:keepNext/>
        <w:keepLines/>
        <w:spacing w:before="300" w:after="300" w:line="280" w:lineRule="exact"/>
        <w:outlineLvl w:val="3"/>
        <w:rPr>
          <w:rFonts w:ascii="宋体" w:eastAsia="宋体" w:hAnsi="宋体" w:cs="宋体"/>
          <w:b/>
          <w:bCs/>
          <w:sz w:val="18"/>
          <w:szCs w:val="18"/>
        </w:rPr>
      </w:pPr>
      <w:bookmarkStart w:id="364" w:name="_Toc989247"/>
      <w:r>
        <w:rPr>
          <w:rFonts w:ascii="宋体" w:eastAsia="宋体" w:hAnsi="宋体" w:cs="宋体" w:hint="eastAsia"/>
          <w:b/>
          <w:bCs/>
          <w:sz w:val="18"/>
          <w:szCs w:val="18"/>
        </w:rPr>
        <w:t>（1） 本期发生的同</w:t>
      </w:r>
      <w:proofErr w:type="gramStart"/>
      <w:r>
        <w:rPr>
          <w:rFonts w:ascii="宋体" w:eastAsia="宋体" w:hAnsi="宋体" w:cs="宋体" w:hint="eastAsia"/>
          <w:b/>
          <w:bCs/>
          <w:sz w:val="18"/>
          <w:szCs w:val="18"/>
        </w:rPr>
        <w:t>一控制</w:t>
      </w:r>
      <w:proofErr w:type="gramEnd"/>
      <w:r>
        <w:rPr>
          <w:rFonts w:ascii="宋体" w:eastAsia="宋体" w:hAnsi="宋体" w:cs="宋体" w:hint="eastAsia"/>
          <w:b/>
          <w:bCs/>
          <w:sz w:val="18"/>
          <w:szCs w:val="18"/>
        </w:rPr>
        <w:t>下企业合并</w:t>
      </w:r>
      <w:bookmarkEnd w:id="364"/>
    </w:p>
    <w:p w:rsidR="00745844" w:rsidRPr="00892FDB" w:rsidRDefault="00745844" w:rsidP="00892FDB">
      <w:pPr>
        <w:pStyle w:val="a3"/>
        <w:spacing w:before="0" w:beforeAutospacing="0" w:after="0" w:afterAutospacing="0" w:line="360" w:lineRule="auto"/>
        <w:ind w:firstLine="420"/>
        <w:jc w:val="both"/>
        <w:rPr>
          <w:rFonts w:cs="Times New Roman"/>
          <w:color w:val="000000"/>
          <w:sz w:val="21"/>
          <w:szCs w:val="21"/>
        </w:rPr>
      </w:pPr>
      <w:r>
        <w:rPr>
          <w:rFonts w:cs="Times New Roman" w:hint="eastAsia"/>
          <w:color w:val="000000"/>
          <w:sz w:val="21"/>
          <w:szCs w:val="21"/>
        </w:rPr>
        <w:t>报告期内，公司无同</w:t>
      </w:r>
      <w:proofErr w:type="gramStart"/>
      <w:r>
        <w:rPr>
          <w:rFonts w:cs="Times New Roman" w:hint="eastAsia"/>
          <w:color w:val="000000"/>
          <w:sz w:val="21"/>
          <w:szCs w:val="21"/>
        </w:rPr>
        <w:t>一控制</w:t>
      </w:r>
      <w:proofErr w:type="gramEnd"/>
      <w:r>
        <w:rPr>
          <w:rFonts w:cs="Times New Roman" w:hint="eastAsia"/>
          <w:color w:val="000000"/>
          <w:sz w:val="21"/>
          <w:szCs w:val="21"/>
        </w:rPr>
        <w:t>下的企业合并。</w:t>
      </w:r>
    </w:p>
    <w:p w:rsidR="00745844" w:rsidRDefault="00745844" w:rsidP="00745844">
      <w:pPr>
        <w:pStyle w:val="3"/>
        <w:spacing w:line="280" w:lineRule="exact"/>
        <w:jc w:val="left"/>
        <w:rPr>
          <w:rFonts w:ascii="宋体" w:hAnsi="宋体" w:cs="宋体"/>
          <w:b/>
          <w:bCs/>
        </w:rPr>
      </w:pPr>
      <w:bookmarkStart w:id="365" w:name="_Toc989248"/>
      <w:r>
        <w:rPr>
          <w:rFonts w:ascii="宋体" w:hAnsi="宋体" w:cs="宋体" w:hint="eastAsia"/>
          <w:b/>
          <w:bCs/>
        </w:rPr>
        <w:t>3、处置子公司</w:t>
      </w:r>
      <w:bookmarkEnd w:id="365"/>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本期是否存在丧失子公司控制权的交易或事项</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hint="eastAsia"/>
          <w:sz w:val="18"/>
          <w:szCs w:val="18"/>
        </w:rPr>
        <w:t>是 □否</w:t>
      </w:r>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1"/>
        <w:gridCol w:w="742"/>
        <w:gridCol w:w="742"/>
        <w:gridCol w:w="742"/>
        <w:gridCol w:w="742"/>
        <w:gridCol w:w="742"/>
        <w:gridCol w:w="742"/>
        <w:gridCol w:w="742"/>
        <w:gridCol w:w="742"/>
        <w:gridCol w:w="742"/>
        <w:gridCol w:w="742"/>
        <w:gridCol w:w="742"/>
        <w:gridCol w:w="742"/>
      </w:tblGrid>
      <w:tr w:rsidR="00745844" w:rsidTr="00745844">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子公司名称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丧失控制权时点的处置价款</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丧失控制权时点的处置比例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丧失控制权时点的处置方式</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丧失控制权的时点</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丧失控制权时点的判断依据</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处置价款与处置投资对应的合并财务报表层面享有该子公司净资产份额的差额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丧失控制权之日剩余股权的比例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丧失控制权之日合并财务报表层面剩余股权的账面价值</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丧失控制权之日合并财务报表层面剩余股权的公允价值</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按照公允价值重新计量剩余股权产生的利得或损失</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丧失控制权之日合并财务报表层面剩余股权公允价值的确定方法及主要假设</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与原子公司股权投资相关的其他综合收益转入投资损益或留存收益的金额</w:t>
            </w:r>
          </w:p>
        </w:tc>
      </w:tr>
      <w:tr w:rsidR="00745844" w:rsidTr="00745844">
        <w:trPr>
          <w:trHeight w:val="240"/>
        </w:trPr>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四川</w:t>
            </w:r>
            <w:r>
              <w:rPr>
                <w:rFonts w:ascii="宋体" w:eastAsia="宋体" w:hAnsi="宋体" w:cs="宋体" w:hint="eastAsia"/>
                <w:sz w:val="18"/>
                <w:szCs w:val="18"/>
              </w:rPr>
              <w:lastRenderedPageBreak/>
              <w:t>德芯源电子科技有限公司</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lastRenderedPageBreak/>
              <w:t>1,787</w:t>
            </w:r>
            <w:r>
              <w:rPr>
                <w:rFonts w:ascii="宋体" w:eastAsia="宋体" w:hAnsi="宋体" w:cs="宋体" w:hint="eastAsia"/>
                <w:sz w:val="18"/>
                <w:szCs w:val="18"/>
              </w:rPr>
              <w:lastRenderedPageBreak/>
              <w:t>,000.00</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lastRenderedPageBreak/>
              <w:t>51.00</w:t>
            </w:r>
            <w:r>
              <w:rPr>
                <w:rFonts w:ascii="宋体" w:eastAsia="宋体" w:hAnsi="宋体" w:cs="宋体" w:hint="eastAsia"/>
                <w:sz w:val="18"/>
                <w:szCs w:val="18"/>
              </w:rPr>
              <w:lastRenderedPageBreak/>
              <w:t>%</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lastRenderedPageBreak/>
              <w:t>出售</w:t>
            </w:r>
            <w:r>
              <w:rPr>
                <w:rFonts w:ascii="宋体" w:eastAsia="宋体" w:hAnsi="宋体" w:cs="宋体" w:hint="eastAsia"/>
                <w:sz w:val="18"/>
                <w:szCs w:val="18"/>
              </w:rPr>
              <w:lastRenderedPageBreak/>
              <w:t>股权</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lastRenderedPageBreak/>
              <w:t>2024</w:t>
            </w:r>
            <w:r>
              <w:rPr>
                <w:rFonts w:ascii="宋体" w:eastAsia="宋体" w:hAnsi="宋体" w:cs="宋体" w:hint="eastAsia"/>
                <w:sz w:val="18"/>
                <w:szCs w:val="18"/>
              </w:rPr>
              <w:lastRenderedPageBreak/>
              <w:t>年07月11日</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lastRenderedPageBreak/>
              <w:t>股权</w:t>
            </w:r>
            <w:r>
              <w:rPr>
                <w:rFonts w:ascii="宋体" w:eastAsia="宋体" w:hAnsi="宋体" w:cs="宋体" w:hint="eastAsia"/>
                <w:sz w:val="18"/>
                <w:szCs w:val="18"/>
              </w:rPr>
              <w:lastRenderedPageBreak/>
              <w:t>过户</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lastRenderedPageBreak/>
              <w:t>-</w:t>
            </w:r>
            <w:r>
              <w:rPr>
                <w:rFonts w:ascii="宋体" w:eastAsia="宋体" w:hAnsi="宋体" w:cs="宋体" w:hint="eastAsia"/>
                <w:sz w:val="18"/>
                <w:szCs w:val="18"/>
              </w:rPr>
              <w:lastRenderedPageBreak/>
              <w:t>763,000.00</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lastRenderedPageBreak/>
              <w:t>0.00%</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0.00</w:t>
            </w:r>
          </w:p>
        </w:tc>
      </w:tr>
    </w:tbl>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lastRenderedPageBreak/>
        <w:t>是否存在通过多次交易分步处置对子公司投资且在本期丧失控制权的情形</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□是 </w:t>
      </w:r>
      <w:r>
        <w:rPr>
          <w:rFonts w:ascii="宋体" w:eastAsia="宋体" w:hAnsi="宋体" w:cs="宋体"/>
          <w:sz w:val="18"/>
          <w:szCs w:val="18"/>
        </w:rPr>
        <w:sym w:font="Wingdings 2" w:char="F052"/>
      </w:r>
      <w:r>
        <w:rPr>
          <w:rFonts w:ascii="宋体" w:eastAsia="宋体" w:hAnsi="宋体" w:cs="宋体" w:hint="eastAsia"/>
          <w:sz w:val="18"/>
          <w:szCs w:val="18"/>
        </w:rPr>
        <w:t>否</w:t>
      </w:r>
    </w:p>
    <w:p w:rsidR="00745844" w:rsidRDefault="00745844" w:rsidP="00745844">
      <w:pPr>
        <w:pStyle w:val="2"/>
        <w:spacing w:before="300" w:after="300" w:line="320" w:lineRule="exact"/>
        <w:rPr>
          <w:rFonts w:ascii="宋体" w:eastAsia="宋体" w:hAnsi="宋体" w:cs="宋体"/>
          <w:b/>
          <w:bCs/>
          <w:sz w:val="24"/>
          <w:szCs w:val="24"/>
        </w:rPr>
      </w:pPr>
      <w:bookmarkStart w:id="366" w:name="_Toc989249"/>
      <w:r>
        <w:rPr>
          <w:rFonts w:ascii="宋体" w:eastAsia="宋体" w:hAnsi="宋体" w:cs="宋体" w:hint="eastAsia"/>
          <w:b/>
          <w:bCs/>
          <w:sz w:val="24"/>
          <w:szCs w:val="24"/>
        </w:rPr>
        <w:t>十、在其他主体中的权益</w:t>
      </w:r>
      <w:bookmarkEnd w:id="366"/>
    </w:p>
    <w:p w:rsidR="00745844" w:rsidRDefault="00745844" w:rsidP="00745844">
      <w:pPr>
        <w:pStyle w:val="3"/>
        <w:spacing w:line="280" w:lineRule="exact"/>
        <w:jc w:val="left"/>
        <w:rPr>
          <w:rFonts w:ascii="宋体" w:hAnsi="宋体" w:cs="宋体"/>
          <w:b/>
          <w:bCs/>
        </w:rPr>
      </w:pPr>
      <w:bookmarkStart w:id="367" w:name="_Toc989250"/>
      <w:r>
        <w:rPr>
          <w:rFonts w:ascii="宋体" w:hAnsi="宋体" w:cs="宋体" w:hint="eastAsia"/>
          <w:b/>
          <w:bCs/>
        </w:rPr>
        <w:t>1、在子公司中的权益</w:t>
      </w:r>
      <w:bookmarkEnd w:id="367"/>
    </w:p>
    <w:p w:rsidR="00745844" w:rsidRDefault="00745844" w:rsidP="00745844">
      <w:pPr>
        <w:keepNext/>
        <w:keepLines/>
        <w:spacing w:before="300" w:after="300" w:line="280" w:lineRule="exact"/>
        <w:outlineLvl w:val="3"/>
        <w:rPr>
          <w:rFonts w:ascii="宋体" w:eastAsia="宋体" w:hAnsi="宋体" w:cs="宋体"/>
          <w:b/>
          <w:bCs/>
          <w:sz w:val="18"/>
          <w:szCs w:val="18"/>
        </w:rPr>
      </w:pPr>
      <w:bookmarkStart w:id="368" w:name="_Toc989251"/>
      <w:r>
        <w:rPr>
          <w:rFonts w:ascii="宋体" w:eastAsia="宋体" w:hAnsi="宋体" w:cs="宋体" w:hint="eastAsia"/>
          <w:b/>
          <w:bCs/>
          <w:sz w:val="18"/>
          <w:szCs w:val="18"/>
        </w:rPr>
        <w:t>（1） 企业集团的构成</w:t>
      </w:r>
      <w:bookmarkEnd w:id="368"/>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05"/>
        <w:gridCol w:w="1205"/>
        <w:gridCol w:w="1205"/>
        <w:gridCol w:w="1206"/>
        <w:gridCol w:w="1206"/>
        <w:gridCol w:w="1206"/>
        <w:gridCol w:w="1206"/>
        <w:gridCol w:w="1206"/>
      </w:tblGrid>
      <w:tr w:rsidR="00745844" w:rsidTr="00745844">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子公司名称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注册资本</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主要经营地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注册地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业务性质</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持股比例</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取得方式</w:t>
            </w:r>
          </w:p>
        </w:tc>
      </w:tr>
      <w:tr w:rsidR="00745844" w:rsidTr="00745844">
        <w:trPr>
          <w:trHeight w:val="240"/>
        </w:trPr>
        <w:tc>
          <w:tcPr>
            <w:tcW w:w="1205"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205"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205"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205"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205"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直接</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间接</w:t>
            </w:r>
          </w:p>
        </w:tc>
        <w:tc>
          <w:tcPr>
            <w:tcW w:w="1206"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r>
      <w:tr w:rsidR="00745844" w:rsidTr="00745844">
        <w:trPr>
          <w:trHeight w:val="240"/>
        </w:trPr>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四川升华电源科技有限公司</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成都</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成都</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工业</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非同</w:t>
            </w:r>
            <w:proofErr w:type="gramStart"/>
            <w:r>
              <w:rPr>
                <w:rFonts w:ascii="宋体" w:eastAsia="宋体" w:hAnsi="宋体" w:cs="宋体" w:hint="eastAsia"/>
                <w:sz w:val="18"/>
                <w:szCs w:val="18"/>
              </w:rPr>
              <w:t>一控制</w:t>
            </w:r>
            <w:proofErr w:type="gramEnd"/>
            <w:r>
              <w:rPr>
                <w:rFonts w:ascii="宋体" w:eastAsia="宋体" w:hAnsi="宋体" w:cs="宋体" w:hint="eastAsia"/>
                <w:sz w:val="18"/>
                <w:szCs w:val="18"/>
              </w:rPr>
              <w:t>下企业合并</w:t>
            </w:r>
          </w:p>
        </w:tc>
      </w:tr>
      <w:tr w:rsidR="00745844" w:rsidTr="00745844">
        <w:trPr>
          <w:trHeight w:val="240"/>
        </w:trPr>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沈阳含能金属材料制造有限公司</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工业</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90.00%</w:t>
            </w:r>
          </w:p>
        </w:tc>
        <w:tc>
          <w:tcPr>
            <w:tcW w:w="120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非同</w:t>
            </w:r>
            <w:proofErr w:type="gramStart"/>
            <w:r>
              <w:rPr>
                <w:rFonts w:ascii="宋体" w:eastAsia="宋体" w:hAnsi="宋体" w:cs="宋体" w:hint="eastAsia"/>
                <w:sz w:val="18"/>
                <w:szCs w:val="18"/>
              </w:rPr>
              <w:t>一控制</w:t>
            </w:r>
            <w:proofErr w:type="gramEnd"/>
            <w:r>
              <w:rPr>
                <w:rFonts w:ascii="宋体" w:eastAsia="宋体" w:hAnsi="宋体" w:cs="宋体" w:hint="eastAsia"/>
                <w:sz w:val="18"/>
                <w:szCs w:val="18"/>
              </w:rPr>
              <w:t>下企业合并</w:t>
            </w:r>
          </w:p>
        </w:tc>
      </w:tr>
      <w:tr w:rsidR="00745844" w:rsidTr="00745844">
        <w:trPr>
          <w:trHeight w:val="240"/>
        </w:trPr>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沈阳非晶金属材料制造有限公司</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45,000,000.00</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工业</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33.34%</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23.33%</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非同</w:t>
            </w:r>
            <w:proofErr w:type="gramStart"/>
            <w:r>
              <w:rPr>
                <w:rFonts w:ascii="宋体" w:eastAsia="宋体" w:hAnsi="宋体" w:cs="宋体" w:hint="eastAsia"/>
                <w:sz w:val="18"/>
                <w:szCs w:val="18"/>
              </w:rPr>
              <w:t>一控制</w:t>
            </w:r>
            <w:proofErr w:type="gramEnd"/>
            <w:r>
              <w:rPr>
                <w:rFonts w:ascii="宋体" w:eastAsia="宋体" w:hAnsi="宋体" w:cs="宋体" w:hint="eastAsia"/>
                <w:sz w:val="18"/>
                <w:szCs w:val="18"/>
              </w:rPr>
              <w:t>下企业合并</w:t>
            </w:r>
          </w:p>
        </w:tc>
      </w:tr>
      <w:tr w:rsidR="00745844" w:rsidTr="00745844">
        <w:trPr>
          <w:trHeight w:val="240"/>
        </w:trPr>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汇德国际投资有限公司</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1,000,000.00</w:t>
            </w:r>
            <w:r w:rsidR="00155CAB">
              <w:rPr>
                <w:rFonts w:ascii="宋体" w:eastAsia="宋体" w:hAnsi="宋体" w:cs="宋体" w:hint="eastAsia"/>
                <w:sz w:val="18"/>
                <w:szCs w:val="18"/>
              </w:rPr>
              <w:t>（港币）</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投资、技术进出口</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投资设立</w:t>
            </w:r>
          </w:p>
        </w:tc>
      </w:tr>
      <w:tr w:rsidR="00745844" w:rsidTr="00745844">
        <w:trPr>
          <w:trHeight w:val="240"/>
        </w:trPr>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江门德</w:t>
            </w:r>
            <w:proofErr w:type="gramStart"/>
            <w:r>
              <w:rPr>
                <w:rFonts w:ascii="宋体" w:eastAsia="宋体" w:hAnsi="宋体" w:cs="宋体" w:hint="eastAsia"/>
                <w:sz w:val="18"/>
                <w:szCs w:val="18"/>
              </w:rPr>
              <w:t>钰隽龚</w:t>
            </w:r>
            <w:proofErr w:type="gramEnd"/>
            <w:r>
              <w:rPr>
                <w:rFonts w:ascii="宋体" w:eastAsia="宋体" w:hAnsi="宋体" w:cs="宋体" w:hint="eastAsia"/>
                <w:sz w:val="18"/>
                <w:szCs w:val="18"/>
              </w:rPr>
              <w:t>股权投资合伙企业（有限合伙）</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江门</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江门</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投资</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89.90%</w:t>
            </w:r>
          </w:p>
        </w:tc>
        <w:tc>
          <w:tcPr>
            <w:tcW w:w="120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投资设立</w:t>
            </w:r>
          </w:p>
        </w:tc>
      </w:tr>
      <w:tr w:rsidR="00745844" w:rsidTr="00745844">
        <w:trPr>
          <w:trHeight w:val="240"/>
        </w:trPr>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四川甘华电源科技有限公司</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成都</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成都</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研发</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投资设立</w:t>
            </w:r>
          </w:p>
        </w:tc>
      </w:tr>
      <w:tr w:rsidR="00745844" w:rsidTr="00745844">
        <w:trPr>
          <w:trHeight w:val="240"/>
        </w:trPr>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江门甘科物业管理有限公司</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江门</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江门</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物业</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投资设立</w:t>
            </w:r>
          </w:p>
        </w:tc>
      </w:tr>
      <w:tr w:rsidR="00745844" w:rsidTr="00745844">
        <w:trPr>
          <w:trHeight w:val="240"/>
        </w:trPr>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福建将乐卓越金属材料有限公司</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10,500,000.00</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将乐</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将乐</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销售</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非同</w:t>
            </w:r>
            <w:proofErr w:type="gramStart"/>
            <w:r>
              <w:rPr>
                <w:rFonts w:ascii="宋体" w:eastAsia="宋体" w:hAnsi="宋体" w:cs="宋体" w:hint="eastAsia"/>
                <w:sz w:val="18"/>
                <w:szCs w:val="18"/>
              </w:rPr>
              <w:t>一控制</w:t>
            </w:r>
            <w:proofErr w:type="gramEnd"/>
            <w:r>
              <w:rPr>
                <w:rFonts w:ascii="宋体" w:eastAsia="宋体" w:hAnsi="宋体" w:cs="宋体" w:hint="eastAsia"/>
                <w:sz w:val="18"/>
                <w:szCs w:val="18"/>
              </w:rPr>
              <w:t>下企业合并</w:t>
            </w:r>
          </w:p>
        </w:tc>
      </w:tr>
      <w:tr w:rsidR="00745844" w:rsidTr="00745844">
        <w:trPr>
          <w:trHeight w:val="240"/>
        </w:trPr>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沈阳超能新材科技有限公司</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工业</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非同</w:t>
            </w:r>
            <w:proofErr w:type="gramStart"/>
            <w:r>
              <w:rPr>
                <w:rFonts w:ascii="宋体" w:eastAsia="宋体" w:hAnsi="宋体" w:cs="宋体" w:hint="eastAsia"/>
                <w:sz w:val="18"/>
                <w:szCs w:val="18"/>
              </w:rPr>
              <w:t>一控制</w:t>
            </w:r>
            <w:proofErr w:type="gramEnd"/>
            <w:r>
              <w:rPr>
                <w:rFonts w:ascii="宋体" w:eastAsia="宋体" w:hAnsi="宋体" w:cs="宋体" w:hint="eastAsia"/>
                <w:sz w:val="18"/>
                <w:szCs w:val="18"/>
              </w:rPr>
              <w:t>下企业合并</w:t>
            </w:r>
          </w:p>
        </w:tc>
      </w:tr>
      <w:tr w:rsidR="00745844" w:rsidTr="00745844">
        <w:trPr>
          <w:trHeight w:val="240"/>
        </w:trPr>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深圳升华源科技有限公司</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深圳</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深圳</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研发</w:t>
            </w:r>
          </w:p>
        </w:tc>
        <w:tc>
          <w:tcPr>
            <w:tcW w:w="120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95.00%</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非同</w:t>
            </w:r>
            <w:proofErr w:type="gramStart"/>
            <w:r>
              <w:rPr>
                <w:rFonts w:ascii="宋体" w:eastAsia="宋体" w:hAnsi="宋体" w:cs="宋体" w:hint="eastAsia"/>
                <w:sz w:val="18"/>
                <w:szCs w:val="18"/>
              </w:rPr>
              <w:t>一控制</w:t>
            </w:r>
            <w:proofErr w:type="gramEnd"/>
            <w:r>
              <w:rPr>
                <w:rFonts w:ascii="宋体" w:eastAsia="宋体" w:hAnsi="宋体" w:cs="宋体" w:hint="eastAsia"/>
                <w:sz w:val="18"/>
                <w:szCs w:val="18"/>
              </w:rPr>
              <w:t>下企业合并</w:t>
            </w:r>
          </w:p>
        </w:tc>
      </w:tr>
      <w:tr w:rsidR="00745844" w:rsidTr="00745844">
        <w:trPr>
          <w:trHeight w:val="240"/>
        </w:trPr>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北京聚能合源科技有限公司</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11,111,100.00</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北京</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北京</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研发</w:t>
            </w:r>
          </w:p>
        </w:tc>
        <w:tc>
          <w:tcPr>
            <w:tcW w:w="120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非同</w:t>
            </w:r>
            <w:proofErr w:type="gramStart"/>
            <w:r>
              <w:rPr>
                <w:rFonts w:ascii="宋体" w:eastAsia="宋体" w:hAnsi="宋体" w:cs="宋体" w:hint="eastAsia"/>
                <w:sz w:val="18"/>
                <w:szCs w:val="18"/>
              </w:rPr>
              <w:t>一控制</w:t>
            </w:r>
            <w:proofErr w:type="gramEnd"/>
            <w:r>
              <w:rPr>
                <w:rFonts w:ascii="宋体" w:eastAsia="宋体" w:hAnsi="宋体" w:cs="宋体" w:hint="eastAsia"/>
                <w:sz w:val="18"/>
                <w:szCs w:val="18"/>
              </w:rPr>
              <w:t>下企业合并</w:t>
            </w:r>
          </w:p>
        </w:tc>
      </w:tr>
    </w:tbl>
    <w:p w:rsidR="00745844" w:rsidRDefault="00745844" w:rsidP="00745844">
      <w:pPr>
        <w:keepNext/>
        <w:keepLines/>
        <w:spacing w:before="300" w:after="300" w:line="280" w:lineRule="exact"/>
        <w:outlineLvl w:val="3"/>
        <w:rPr>
          <w:rFonts w:ascii="宋体" w:eastAsia="宋体" w:hAnsi="宋体" w:cs="宋体"/>
          <w:b/>
          <w:bCs/>
          <w:sz w:val="18"/>
          <w:szCs w:val="18"/>
        </w:rPr>
      </w:pPr>
      <w:bookmarkStart w:id="369" w:name="_Toc989252"/>
      <w:r>
        <w:rPr>
          <w:rFonts w:ascii="宋体" w:eastAsia="宋体" w:hAnsi="宋体" w:cs="宋体" w:hint="eastAsia"/>
          <w:b/>
          <w:bCs/>
          <w:sz w:val="18"/>
          <w:szCs w:val="18"/>
        </w:rPr>
        <w:lastRenderedPageBreak/>
        <w:t>（2） 重要的非全资子公司</w:t>
      </w:r>
      <w:bookmarkEnd w:id="369"/>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29"/>
        <w:gridCol w:w="1929"/>
        <w:gridCol w:w="1929"/>
        <w:gridCol w:w="1929"/>
        <w:gridCol w:w="1929"/>
      </w:tblGrid>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期末少数股东权益余额</w:t>
            </w:r>
          </w:p>
        </w:tc>
      </w:tr>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沈阳含能金属材料制造有限公司</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2,104,838.93</w:t>
            </w: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11,032,718.38</w:t>
            </w:r>
          </w:p>
        </w:tc>
      </w:tr>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沈阳非晶金属材料制造有限公司</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43.33%</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-5,464,135.92</w:t>
            </w: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9,022,636.24</w:t>
            </w:r>
          </w:p>
        </w:tc>
      </w:tr>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-3,359,296.99</w:t>
            </w: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20,055,354.62</w:t>
            </w:r>
          </w:p>
        </w:tc>
      </w:tr>
    </w:tbl>
    <w:p w:rsidR="00745844" w:rsidRDefault="00745844" w:rsidP="00745844">
      <w:pPr>
        <w:keepNext/>
        <w:keepLines/>
        <w:spacing w:before="300" w:after="300" w:line="280" w:lineRule="exact"/>
        <w:outlineLvl w:val="3"/>
        <w:rPr>
          <w:rFonts w:ascii="宋体" w:eastAsia="宋体" w:hAnsi="宋体" w:cs="宋体"/>
          <w:b/>
          <w:bCs/>
          <w:sz w:val="18"/>
          <w:szCs w:val="18"/>
        </w:rPr>
      </w:pPr>
      <w:bookmarkStart w:id="370" w:name="_Toc989253"/>
      <w:r>
        <w:rPr>
          <w:rFonts w:ascii="宋体" w:eastAsia="宋体" w:hAnsi="宋体" w:cs="宋体" w:hint="eastAsia"/>
          <w:b/>
          <w:bCs/>
          <w:sz w:val="18"/>
          <w:szCs w:val="18"/>
        </w:rPr>
        <w:t>（3） 重要非全资子公司的主要财务信息</w:t>
      </w:r>
      <w:bookmarkEnd w:id="370"/>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2"/>
        <w:gridCol w:w="742"/>
        <w:gridCol w:w="742"/>
        <w:gridCol w:w="742"/>
        <w:gridCol w:w="742"/>
        <w:gridCol w:w="742"/>
        <w:gridCol w:w="744"/>
        <w:gridCol w:w="741"/>
        <w:gridCol w:w="741"/>
        <w:gridCol w:w="741"/>
        <w:gridCol w:w="741"/>
        <w:gridCol w:w="741"/>
        <w:gridCol w:w="744"/>
      </w:tblGrid>
      <w:tr w:rsidR="00745844" w:rsidTr="00745844">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子公司名称</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期初余额</w:t>
            </w:r>
          </w:p>
        </w:tc>
      </w:tr>
      <w:tr w:rsidR="00745844" w:rsidTr="00745844">
        <w:trPr>
          <w:trHeight w:val="240"/>
        </w:trPr>
        <w:tc>
          <w:tcPr>
            <w:tcW w:w="741"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负债合计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负债合计</w:t>
            </w:r>
          </w:p>
        </w:tc>
      </w:tr>
      <w:tr w:rsidR="00745844" w:rsidTr="00745844">
        <w:trPr>
          <w:trHeight w:val="240"/>
        </w:trPr>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沈阳含能金属材料制造有限公司</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121,400,618.83</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13,021,153.47</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134,421,772.30</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23,329,138.07</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158,708.32</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23,487,846.39</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88,112,458.92</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14,470,234.50</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102,582,693.42</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11,945,005.93</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576,183.92</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12,521,189.85</w:t>
            </w:r>
          </w:p>
        </w:tc>
      </w:tr>
      <w:tr w:rsidR="00745844" w:rsidTr="00745844">
        <w:trPr>
          <w:trHeight w:val="240"/>
        </w:trPr>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沈阳非晶金属材料制造有限公司</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36,601,795.66</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15,888,363.14</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52,490,158.80</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49,790,028.88</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1,877,059.88</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51,667,088.76</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37,622,170.37</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20,298,069.11</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57,920,239.48</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42,137,164.56</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2,757,957.50</w:t>
            </w: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44,895,122.06</w:t>
            </w:r>
          </w:p>
        </w:tc>
      </w:tr>
    </w:tbl>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71"/>
        <w:gridCol w:w="1071"/>
        <w:gridCol w:w="1071"/>
        <w:gridCol w:w="1072"/>
        <w:gridCol w:w="1072"/>
        <w:gridCol w:w="1072"/>
        <w:gridCol w:w="1072"/>
        <w:gridCol w:w="1072"/>
        <w:gridCol w:w="1072"/>
      </w:tblGrid>
      <w:tr w:rsidR="00745844" w:rsidTr="00745844">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子公司名称</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本期发生额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上期发生额</w:t>
            </w:r>
          </w:p>
        </w:tc>
      </w:tr>
      <w:tr w:rsidR="00745844" w:rsidTr="00745844">
        <w:trPr>
          <w:trHeight w:val="240"/>
        </w:trPr>
        <w:tc>
          <w:tcPr>
            <w:tcW w:w="1071"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经营活动现金流量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经营活动现金流量</w:t>
            </w:r>
          </w:p>
        </w:tc>
      </w:tr>
      <w:tr w:rsidR="00745844" w:rsidTr="00745844">
        <w:trPr>
          <w:trHeight w:val="240"/>
        </w:trPr>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沈阳含能金属材料制造有限公司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127,163,039.22</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21,048,389.28</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21,048,389.28</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-20,857,846.19</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56,364,318.91</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-16,431,987.12</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-16,431,987.12</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20,690,754.78</w:t>
            </w:r>
          </w:p>
        </w:tc>
      </w:tr>
      <w:tr w:rsidR="00745844" w:rsidTr="00745844">
        <w:trPr>
          <w:trHeight w:val="240"/>
        </w:trPr>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沈阳非晶金属材料制造有限公司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15,034,724.11</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-12,610,514.47</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-12,610,514.47</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-18,991,125.83</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27,577,395.18</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-17,110,805.53</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-17,110,805.53</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-22,193,984.80</w:t>
            </w:r>
          </w:p>
        </w:tc>
      </w:tr>
    </w:tbl>
    <w:p w:rsidR="00745844" w:rsidRDefault="00745844" w:rsidP="00745844">
      <w:pPr>
        <w:pStyle w:val="3"/>
        <w:spacing w:line="280" w:lineRule="exact"/>
        <w:jc w:val="left"/>
        <w:rPr>
          <w:rFonts w:ascii="宋体" w:hAnsi="宋体" w:cs="宋体"/>
          <w:b/>
          <w:bCs/>
        </w:rPr>
      </w:pPr>
      <w:bookmarkStart w:id="371" w:name="_Toc989254"/>
      <w:r>
        <w:rPr>
          <w:rFonts w:ascii="宋体" w:hAnsi="宋体" w:cs="宋体" w:hint="eastAsia"/>
          <w:b/>
          <w:bCs/>
        </w:rPr>
        <w:t>2、在子公司的所有者权益份额发生变化且仍控制子公司的交易</w:t>
      </w:r>
      <w:bookmarkEnd w:id="371"/>
    </w:p>
    <w:p w:rsidR="00745844" w:rsidRDefault="00745844" w:rsidP="00745844">
      <w:pPr>
        <w:keepNext/>
        <w:keepLines/>
        <w:spacing w:before="300" w:after="300" w:line="280" w:lineRule="exact"/>
        <w:outlineLvl w:val="3"/>
        <w:rPr>
          <w:rFonts w:ascii="宋体" w:eastAsia="宋体" w:hAnsi="宋体" w:cs="宋体"/>
          <w:b/>
          <w:bCs/>
          <w:sz w:val="18"/>
          <w:szCs w:val="18"/>
        </w:rPr>
      </w:pPr>
      <w:bookmarkStart w:id="372" w:name="_Toc989255"/>
      <w:r>
        <w:rPr>
          <w:rFonts w:ascii="宋体" w:eastAsia="宋体" w:hAnsi="宋体" w:cs="宋体" w:hint="eastAsia"/>
          <w:b/>
          <w:bCs/>
          <w:sz w:val="18"/>
          <w:szCs w:val="18"/>
        </w:rPr>
        <w:t>（1） 在子公司所有者权益份额发生变化的情况说明</w:t>
      </w:r>
      <w:bookmarkEnd w:id="372"/>
    </w:p>
    <w:p w:rsidR="00745844" w:rsidRPr="00892FDB" w:rsidRDefault="00745844" w:rsidP="00892FDB">
      <w:pPr>
        <w:pStyle w:val="a3"/>
        <w:spacing w:before="0" w:beforeAutospacing="0" w:after="0" w:afterAutospacing="0" w:line="360" w:lineRule="auto"/>
        <w:ind w:firstLine="420"/>
        <w:jc w:val="both"/>
        <w:rPr>
          <w:rFonts w:cs="Times New Roman"/>
          <w:color w:val="000000"/>
          <w:sz w:val="21"/>
          <w:szCs w:val="21"/>
        </w:rPr>
      </w:pPr>
      <w:r>
        <w:rPr>
          <w:rFonts w:cs="Times New Roman" w:hint="eastAsia"/>
          <w:color w:val="000000"/>
          <w:sz w:val="21"/>
          <w:szCs w:val="21"/>
        </w:rPr>
        <w:t>本期公司无在子公司的股东权益份额发生变化且仍控制子公司的交易。</w:t>
      </w:r>
    </w:p>
    <w:p w:rsidR="00745844" w:rsidRDefault="00745844" w:rsidP="00745844">
      <w:pPr>
        <w:pStyle w:val="3"/>
        <w:spacing w:line="280" w:lineRule="exact"/>
        <w:jc w:val="left"/>
        <w:rPr>
          <w:rFonts w:ascii="宋体" w:hAnsi="宋体" w:cs="宋体"/>
          <w:b/>
          <w:bCs/>
        </w:rPr>
      </w:pPr>
      <w:bookmarkStart w:id="373" w:name="_Toc989256"/>
      <w:r>
        <w:rPr>
          <w:rFonts w:ascii="宋体" w:hAnsi="宋体" w:cs="宋体" w:hint="eastAsia"/>
          <w:b/>
          <w:bCs/>
        </w:rPr>
        <w:lastRenderedPageBreak/>
        <w:t>3、在合营安排或联营企业中的权益</w:t>
      </w:r>
      <w:bookmarkEnd w:id="373"/>
    </w:p>
    <w:p w:rsidR="00745844" w:rsidRDefault="00745844" w:rsidP="00745844">
      <w:pPr>
        <w:keepNext/>
        <w:keepLines/>
        <w:spacing w:before="300" w:after="300" w:line="280" w:lineRule="exact"/>
        <w:outlineLvl w:val="3"/>
        <w:rPr>
          <w:rFonts w:ascii="宋体" w:eastAsia="宋体" w:hAnsi="宋体" w:cs="宋体"/>
          <w:b/>
          <w:bCs/>
          <w:szCs w:val="21"/>
        </w:rPr>
      </w:pPr>
      <w:bookmarkStart w:id="374" w:name="_Toc989257"/>
      <w:r>
        <w:rPr>
          <w:rFonts w:ascii="宋体" w:eastAsia="宋体" w:hAnsi="宋体" w:cs="宋体" w:hint="eastAsia"/>
          <w:b/>
          <w:bCs/>
          <w:szCs w:val="21"/>
        </w:rPr>
        <w:t>（1） 重要的合营企业或联营企业</w:t>
      </w:r>
      <w:bookmarkEnd w:id="374"/>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77"/>
        <w:gridCol w:w="1378"/>
        <w:gridCol w:w="1378"/>
        <w:gridCol w:w="1378"/>
        <w:gridCol w:w="1378"/>
        <w:gridCol w:w="1378"/>
        <w:gridCol w:w="1378"/>
      </w:tblGrid>
      <w:tr w:rsidR="00745844" w:rsidTr="0074584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合营企业或联营企业名称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业务性质</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持股比例</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对合营企业或联营企业投资的会计处理方法</w:t>
            </w:r>
          </w:p>
        </w:tc>
      </w:tr>
      <w:tr w:rsidR="00745844" w:rsidTr="00745844">
        <w:trPr>
          <w:trHeight w:val="240"/>
        </w:trPr>
        <w:tc>
          <w:tcPr>
            <w:tcW w:w="1377"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直接</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间接</w:t>
            </w:r>
          </w:p>
        </w:tc>
        <w:tc>
          <w:tcPr>
            <w:tcW w:w="1378"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r>
      <w:tr w:rsidR="00745844" w:rsidTr="00745844">
        <w:trPr>
          <w:trHeight w:val="240"/>
        </w:trPr>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合营企业</w:t>
            </w: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r>
      <w:tr w:rsidR="00745844" w:rsidTr="00745844">
        <w:trPr>
          <w:trHeight w:val="240"/>
        </w:trPr>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无</w:t>
            </w: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r>
      <w:tr w:rsidR="00745844" w:rsidTr="00745844">
        <w:trPr>
          <w:trHeight w:val="240"/>
        </w:trPr>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联营企业</w:t>
            </w: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r>
      <w:tr w:rsidR="00745844" w:rsidTr="00745844">
        <w:trPr>
          <w:trHeight w:val="240"/>
        </w:trPr>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苏州锴威特半导体股份有限公司</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苏州</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苏州</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集成电路开发与销售</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14.32%</w:t>
            </w: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权益法</w:t>
            </w:r>
          </w:p>
        </w:tc>
      </w:tr>
    </w:tbl>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持有20%以下表决权但具有重大影响，或者持有20%或以上表决权但不具有重大影响的依据：</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sidRPr="00892FDB">
        <w:rPr>
          <w:rFonts w:cs="Times New Roman" w:hint="eastAsia"/>
          <w:color w:val="000000"/>
          <w:sz w:val="21"/>
          <w:szCs w:val="21"/>
        </w:rPr>
        <w:t>甘化科工为</w:t>
      </w:r>
      <w:proofErr w:type="gramStart"/>
      <w:r w:rsidRPr="00892FDB">
        <w:rPr>
          <w:rFonts w:cs="Times New Roman" w:hint="eastAsia"/>
          <w:color w:val="000000"/>
          <w:sz w:val="21"/>
          <w:szCs w:val="21"/>
        </w:rPr>
        <w:t>锴</w:t>
      </w:r>
      <w:proofErr w:type="gramEnd"/>
      <w:r w:rsidRPr="00892FDB">
        <w:rPr>
          <w:rFonts w:cs="Times New Roman" w:hint="eastAsia"/>
          <w:color w:val="000000"/>
          <w:sz w:val="21"/>
          <w:szCs w:val="21"/>
        </w:rPr>
        <w:t>威特第二大股东，在</w:t>
      </w:r>
      <w:proofErr w:type="gramStart"/>
      <w:r w:rsidRPr="00892FDB">
        <w:rPr>
          <w:rFonts w:cs="Times New Roman" w:hint="eastAsia"/>
          <w:color w:val="000000"/>
          <w:sz w:val="21"/>
          <w:szCs w:val="21"/>
        </w:rPr>
        <w:t>锴</w:t>
      </w:r>
      <w:proofErr w:type="gramEnd"/>
      <w:r w:rsidRPr="00892FDB">
        <w:rPr>
          <w:rFonts w:cs="Times New Roman" w:hint="eastAsia"/>
          <w:color w:val="000000"/>
          <w:sz w:val="21"/>
          <w:szCs w:val="21"/>
        </w:rPr>
        <w:t>威特公司董事会机构中派有代表，并相应享有实质性的参与决策权，甘化科工可以通过该代表参与</w:t>
      </w:r>
      <w:proofErr w:type="gramStart"/>
      <w:r w:rsidRPr="00892FDB">
        <w:rPr>
          <w:rFonts w:cs="Times New Roman" w:hint="eastAsia"/>
          <w:color w:val="000000"/>
          <w:sz w:val="21"/>
          <w:szCs w:val="21"/>
        </w:rPr>
        <w:t>锴</w:t>
      </w:r>
      <w:proofErr w:type="gramEnd"/>
      <w:r w:rsidRPr="00892FDB">
        <w:rPr>
          <w:rFonts w:cs="Times New Roman" w:hint="eastAsia"/>
          <w:color w:val="000000"/>
          <w:sz w:val="21"/>
          <w:szCs w:val="21"/>
        </w:rPr>
        <w:t>威特公司财务和经营政策的制定，达到对</w:t>
      </w:r>
      <w:proofErr w:type="gramStart"/>
      <w:r w:rsidRPr="00892FDB">
        <w:rPr>
          <w:rFonts w:cs="Times New Roman" w:hint="eastAsia"/>
          <w:color w:val="000000"/>
          <w:sz w:val="21"/>
          <w:szCs w:val="21"/>
        </w:rPr>
        <w:t>锴</w:t>
      </w:r>
      <w:proofErr w:type="gramEnd"/>
      <w:r w:rsidRPr="00892FDB">
        <w:rPr>
          <w:rFonts w:cs="Times New Roman" w:hint="eastAsia"/>
          <w:color w:val="000000"/>
          <w:sz w:val="21"/>
          <w:szCs w:val="21"/>
        </w:rPr>
        <w:t>威特公司施加重大影响。</w:t>
      </w:r>
    </w:p>
    <w:p w:rsidR="00745844" w:rsidRDefault="00745844" w:rsidP="00745844">
      <w:pPr>
        <w:keepNext/>
        <w:keepLines/>
        <w:spacing w:before="300" w:after="300" w:line="280" w:lineRule="exact"/>
        <w:outlineLvl w:val="3"/>
        <w:rPr>
          <w:rFonts w:ascii="宋体" w:eastAsia="宋体" w:hAnsi="宋体" w:cs="宋体"/>
          <w:b/>
          <w:bCs/>
          <w:szCs w:val="21"/>
        </w:rPr>
      </w:pPr>
      <w:bookmarkStart w:id="375" w:name="_Toc989258"/>
      <w:r>
        <w:rPr>
          <w:rFonts w:ascii="宋体" w:eastAsia="宋体" w:hAnsi="宋体" w:cs="宋体" w:hint="eastAsia"/>
          <w:b/>
          <w:bCs/>
          <w:szCs w:val="21"/>
        </w:rPr>
        <w:t>（2） 重要联营企业的主要财务信息</w:t>
      </w:r>
      <w:bookmarkEnd w:id="375"/>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5"/>
        <w:gridCol w:w="3215"/>
        <w:gridCol w:w="3215"/>
      </w:tblGrid>
      <w:tr w:rsidR="00745844" w:rsidTr="008948EB">
        <w:trPr>
          <w:trHeight w:val="240"/>
        </w:trPr>
        <w:tc>
          <w:tcPr>
            <w:tcW w:w="321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rsidP="008948EB">
            <w:pPr>
              <w:spacing w:line="260" w:lineRule="exact"/>
            </w:pPr>
          </w:p>
        </w:tc>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jc w:val="center"/>
              <w:rPr>
                <w:rFonts w:ascii="宋体" w:eastAsia="宋体" w:hAnsi="宋体" w:cs="宋体"/>
                <w:sz w:val="18"/>
                <w:szCs w:val="18"/>
              </w:rPr>
            </w:pPr>
            <w:r>
              <w:rPr>
                <w:rFonts w:ascii="宋体" w:eastAsia="宋体" w:hAnsi="宋体" w:cs="宋体" w:hint="eastAsia"/>
                <w:sz w:val="18"/>
                <w:szCs w:val="18"/>
              </w:rPr>
              <w:t>期末余额/本期发生额</w:t>
            </w:r>
          </w:p>
        </w:tc>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jc w:val="center"/>
              <w:rPr>
                <w:rFonts w:ascii="宋体" w:eastAsia="宋体" w:hAnsi="宋体" w:cs="宋体"/>
                <w:sz w:val="18"/>
                <w:szCs w:val="18"/>
              </w:rPr>
            </w:pPr>
            <w:r>
              <w:rPr>
                <w:rFonts w:ascii="宋体" w:eastAsia="宋体" w:hAnsi="宋体" w:cs="宋体" w:hint="eastAsia"/>
                <w:sz w:val="18"/>
                <w:szCs w:val="18"/>
              </w:rPr>
              <w:t>期初余额/上期发生额</w:t>
            </w:r>
          </w:p>
        </w:tc>
      </w:tr>
      <w:tr w:rsidR="00745844" w:rsidTr="008948EB">
        <w:trPr>
          <w:trHeight w:val="240"/>
        </w:trPr>
        <w:tc>
          <w:tcPr>
            <w:tcW w:w="3215"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widowControl/>
              <w:spacing w:line="260" w:lineRule="exact"/>
            </w:pP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center"/>
              <w:rPr>
                <w:rFonts w:ascii="宋体" w:eastAsia="宋体" w:hAnsi="宋体" w:cs="宋体"/>
                <w:sz w:val="18"/>
                <w:szCs w:val="18"/>
              </w:rPr>
            </w:pPr>
            <w:proofErr w:type="gramStart"/>
            <w:r>
              <w:rPr>
                <w:rFonts w:ascii="宋体" w:eastAsia="宋体" w:hAnsi="宋体" w:cs="宋体" w:hint="eastAsia"/>
                <w:sz w:val="18"/>
                <w:szCs w:val="18"/>
              </w:rPr>
              <w:t>锴</w:t>
            </w:r>
            <w:proofErr w:type="gramEnd"/>
            <w:r>
              <w:rPr>
                <w:rFonts w:ascii="宋体" w:eastAsia="宋体" w:hAnsi="宋体" w:cs="宋体" w:hint="eastAsia"/>
                <w:sz w:val="18"/>
                <w:szCs w:val="18"/>
              </w:rPr>
              <w:t>威特公司</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center"/>
              <w:rPr>
                <w:rFonts w:ascii="宋体" w:eastAsia="宋体" w:hAnsi="宋体" w:cs="宋体"/>
                <w:sz w:val="18"/>
                <w:szCs w:val="18"/>
              </w:rPr>
            </w:pPr>
            <w:proofErr w:type="gramStart"/>
            <w:r>
              <w:rPr>
                <w:rFonts w:ascii="宋体" w:eastAsia="宋体" w:hAnsi="宋体" w:cs="宋体" w:hint="eastAsia"/>
                <w:sz w:val="18"/>
                <w:szCs w:val="18"/>
              </w:rPr>
              <w:t>锴</w:t>
            </w:r>
            <w:proofErr w:type="gramEnd"/>
            <w:r>
              <w:rPr>
                <w:rFonts w:ascii="宋体" w:eastAsia="宋体" w:hAnsi="宋体" w:cs="宋体" w:hint="eastAsia"/>
                <w:sz w:val="18"/>
                <w:szCs w:val="18"/>
              </w:rPr>
              <w:t>威特公司</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流动资产</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829,216,540.27</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6F2213" w:rsidP="008948EB">
            <w:pPr>
              <w:spacing w:line="260" w:lineRule="exact"/>
              <w:jc w:val="right"/>
              <w:rPr>
                <w:rFonts w:ascii="宋体" w:eastAsia="宋体" w:hAnsi="宋体" w:cs="宋体"/>
                <w:sz w:val="18"/>
                <w:szCs w:val="18"/>
              </w:rPr>
            </w:pPr>
            <w:r w:rsidRPr="00D61F01">
              <w:rPr>
                <w:rFonts w:ascii="宋体" w:eastAsia="宋体" w:hAnsi="宋体" w:cs="宋体"/>
                <w:sz w:val="18"/>
                <w:szCs w:val="18"/>
              </w:rPr>
              <w:t>946,143,929.05</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非流动资产</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135,551,483.24</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120,170,880.35</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资产合计</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964,768,023.51</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6F2213" w:rsidP="008948EB">
            <w:pPr>
              <w:spacing w:line="260" w:lineRule="exact"/>
              <w:jc w:val="right"/>
              <w:rPr>
                <w:rFonts w:ascii="宋体" w:eastAsia="宋体" w:hAnsi="宋体" w:cs="宋体"/>
                <w:sz w:val="18"/>
                <w:szCs w:val="18"/>
              </w:rPr>
            </w:pPr>
            <w:r w:rsidRPr="00D61F01">
              <w:rPr>
                <w:rFonts w:ascii="宋体" w:eastAsia="宋体" w:hAnsi="宋体" w:cs="宋体"/>
                <w:sz w:val="18"/>
                <w:szCs w:val="18"/>
              </w:rPr>
              <w:t>1,066,314,809.40</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流动负债</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3031AF" w:rsidP="008948EB">
            <w:pPr>
              <w:spacing w:line="260" w:lineRule="exact"/>
              <w:jc w:val="right"/>
              <w:rPr>
                <w:rFonts w:ascii="宋体" w:eastAsia="宋体" w:hAnsi="宋体" w:cs="宋体"/>
                <w:sz w:val="18"/>
                <w:szCs w:val="18"/>
              </w:rPr>
            </w:pPr>
            <w:r w:rsidRPr="003031AF">
              <w:rPr>
                <w:rFonts w:ascii="宋体" w:eastAsia="宋体" w:hAnsi="宋体" w:cs="宋体"/>
                <w:sz w:val="18"/>
                <w:szCs w:val="18"/>
              </w:rPr>
              <w:t>55,144,628.06</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42,477,265.32</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非流动负债</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4,416,847.77</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1,519,461.91</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负债合计</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3031AF" w:rsidP="008948EB">
            <w:pPr>
              <w:spacing w:line="260" w:lineRule="exact"/>
              <w:jc w:val="right"/>
              <w:rPr>
                <w:rFonts w:ascii="宋体" w:eastAsia="宋体" w:hAnsi="宋体" w:cs="宋体"/>
                <w:sz w:val="18"/>
                <w:szCs w:val="18"/>
              </w:rPr>
            </w:pPr>
            <w:r w:rsidRPr="003031AF">
              <w:rPr>
                <w:rFonts w:ascii="宋体" w:eastAsia="宋体" w:hAnsi="宋体" w:cs="宋体"/>
                <w:sz w:val="18"/>
                <w:szCs w:val="18"/>
              </w:rPr>
              <w:t>59,561,475.83</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43,996,727.23</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少数股东权益</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-27,511.71</w:t>
            </w:r>
          </w:p>
        </w:tc>
        <w:tc>
          <w:tcPr>
            <w:tcW w:w="3215" w:type="dxa"/>
            <w:tcBorders>
              <w:top w:val="single" w:sz="2" w:space="0" w:color="auto"/>
              <w:left w:val="single" w:sz="2" w:space="0" w:color="auto"/>
              <w:bottom w:val="single" w:sz="2" w:space="0" w:color="auto"/>
              <w:right w:val="single" w:sz="2" w:space="0" w:color="auto"/>
            </w:tcBorders>
            <w:vAlign w:val="center"/>
          </w:tcPr>
          <w:p w:rsidR="00745844" w:rsidRDefault="00745844" w:rsidP="008948EB">
            <w:pPr>
              <w:spacing w:line="260" w:lineRule="exact"/>
              <w:jc w:val="right"/>
              <w:rPr>
                <w:rFonts w:ascii="宋体" w:eastAsia="宋体" w:hAnsi="宋体" w:cs="宋体"/>
                <w:sz w:val="18"/>
                <w:szCs w:val="18"/>
              </w:rPr>
            </w:pP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归属于母公司股东权益</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3031AF" w:rsidP="008948EB">
            <w:pPr>
              <w:spacing w:line="260" w:lineRule="exact"/>
              <w:jc w:val="right"/>
              <w:rPr>
                <w:rFonts w:ascii="宋体" w:eastAsia="宋体" w:hAnsi="宋体" w:cs="宋体"/>
                <w:sz w:val="18"/>
                <w:szCs w:val="18"/>
              </w:rPr>
            </w:pPr>
            <w:r w:rsidRPr="003031AF">
              <w:rPr>
                <w:rFonts w:ascii="宋体" w:eastAsia="宋体" w:hAnsi="宋体" w:cs="宋体"/>
                <w:sz w:val="18"/>
                <w:szCs w:val="18"/>
              </w:rPr>
              <w:t>905,234,059.39</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6F2213" w:rsidP="008948EB">
            <w:pPr>
              <w:spacing w:line="260" w:lineRule="exact"/>
              <w:jc w:val="right"/>
              <w:rPr>
                <w:rFonts w:ascii="宋体" w:eastAsia="宋体" w:hAnsi="宋体" w:cs="宋体"/>
                <w:sz w:val="18"/>
                <w:szCs w:val="18"/>
              </w:rPr>
            </w:pPr>
            <w:r w:rsidRPr="00D61F01">
              <w:rPr>
                <w:rFonts w:ascii="宋体" w:eastAsia="宋体" w:hAnsi="宋体" w:cs="宋体"/>
                <w:sz w:val="18"/>
                <w:szCs w:val="18"/>
              </w:rPr>
              <w:t>1,022,318,082.17</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按持股比例计算的净资产份额</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3031AF" w:rsidP="008948EB">
            <w:pPr>
              <w:spacing w:line="260" w:lineRule="exact"/>
              <w:jc w:val="right"/>
              <w:rPr>
                <w:rFonts w:ascii="宋体" w:eastAsia="宋体" w:hAnsi="宋体" w:cs="宋体"/>
                <w:sz w:val="18"/>
                <w:szCs w:val="18"/>
              </w:rPr>
            </w:pPr>
            <w:r w:rsidRPr="003031AF">
              <w:rPr>
                <w:rFonts w:ascii="宋体" w:eastAsia="宋体" w:hAnsi="宋体" w:cs="宋体"/>
                <w:sz w:val="18"/>
                <w:szCs w:val="18"/>
              </w:rPr>
              <w:t>129,629,517.30</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146,394,686.60</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调整事项</w:t>
            </w:r>
          </w:p>
        </w:tc>
        <w:tc>
          <w:tcPr>
            <w:tcW w:w="3215" w:type="dxa"/>
            <w:tcBorders>
              <w:top w:val="single" w:sz="2" w:space="0" w:color="auto"/>
              <w:left w:val="single" w:sz="2" w:space="0" w:color="auto"/>
              <w:bottom w:val="single" w:sz="2" w:space="0" w:color="auto"/>
              <w:right w:val="single" w:sz="2" w:space="0" w:color="auto"/>
            </w:tcBorders>
            <w:vAlign w:val="center"/>
          </w:tcPr>
          <w:p w:rsidR="00745844" w:rsidRDefault="00745844" w:rsidP="008948EB">
            <w:pPr>
              <w:spacing w:line="260" w:lineRule="exact"/>
              <w:jc w:val="right"/>
              <w:rPr>
                <w:rFonts w:ascii="宋体" w:eastAsia="宋体" w:hAnsi="宋体" w:cs="宋体"/>
                <w:sz w:val="18"/>
                <w:szCs w:val="18"/>
              </w:rPr>
            </w:pPr>
          </w:p>
        </w:tc>
        <w:tc>
          <w:tcPr>
            <w:tcW w:w="3215" w:type="dxa"/>
            <w:tcBorders>
              <w:top w:val="single" w:sz="2" w:space="0" w:color="auto"/>
              <w:left w:val="single" w:sz="2" w:space="0" w:color="auto"/>
              <w:bottom w:val="single" w:sz="2" w:space="0" w:color="auto"/>
              <w:right w:val="single" w:sz="2" w:space="0" w:color="auto"/>
            </w:tcBorders>
            <w:vAlign w:val="center"/>
          </w:tcPr>
          <w:p w:rsidR="00745844" w:rsidRDefault="00745844" w:rsidP="008948EB">
            <w:pPr>
              <w:spacing w:line="260" w:lineRule="exact"/>
              <w:jc w:val="right"/>
              <w:rPr>
                <w:rFonts w:ascii="宋体" w:eastAsia="宋体" w:hAnsi="宋体" w:cs="宋体"/>
                <w:sz w:val="18"/>
                <w:szCs w:val="18"/>
              </w:rPr>
            </w:pP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--商誉</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3031AF" w:rsidP="008948EB">
            <w:pPr>
              <w:spacing w:line="260" w:lineRule="exact"/>
              <w:jc w:val="right"/>
              <w:rPr>
                <w:rFonts w:ascii="宋体" w:eastAsia="宋体" w:hAnsi="宋体" w:cs="宋体"/>
                <w:sz w:val="18"/>
                <w:szCs w:val="18"/>
              </w:rPr>
            </w:pPr>
            <w:r w:rsidRPr="003031AF">
              <w:rPr>
                <w:rFonts w:ascii="宋体" w:eastAsia="宋体" w:hAnsi="宋体" w:cs="宋体"/>
                <w:sz w:val="18"/>
                <w:szCs w:val="18"/>
              </w:rPr>
              <w:t>59,679,021.24</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59,683,942.90</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--内部交易未实现利润</w:t>
            </w:r>
          </w:p>
        </w:tc>
        <w:tc>
          <w:tcPr>
            <w:tcW w:w="3215" w:type="dxa"/>
            <w:tcBorders>
              <w:top w:val="single" w:sz="2" w:space="0" w:color="auto"/>
              <w:left w:val="single" w:sz="2" w:space="0" w:color="auto"/>
              <w:bottom w:val="single" w:sz="2" w:space="0" w:color="auto"/>
              <w:right w:val="single" w:sz="2" w:space="0" w:color="auto"/>
            </w:tcBorders>
            <w:vAlign w:val="center"/>
          </w:tcPr>
          <w:p w:rsidR="00745844" w:rsidRDefault="00745844" w:rsidP="008948EB">
            <w:pPr>
              <w:spacing w:line="260" w:lineRule="exact"/>
              <w:jc w:val="right"/>
              <w:rPr>
                <w:rFonts w:ascii="宋体" w:eastAsia="宋体" w:hAnsi="宋体" w:cs="宋体"/>
                <w:sz w:val="18"/>
                <w:szCs w:val="18"/>
              </w:rPr>
            </w:pPr>
          </w:p>
        </w:tc>
        <w:tc>
          <w:tcPr>
            <w:tcW w:w="3215" w:type="dxa"/>
            <w:tcBorders>
              <w:top w:val="single" w:sz="2" w:space="0" w:color="auto"/>
              <w:left w:val="single" w:sz="2" w:space="0" w:color="auto"/>
              <w:bottom w:val="single" w:sz="2" w:space="0" w:color="auto"/>
              <w:right w:val="single" w:sz="2" w:space="0" w:color="auto"/>
            </w:tcBorders>
            <w:vAlign w:val="center"/>
          </w:tcPr>
          <w:p w:rsidR="00745844" w:rsidRDefault="00745844" w:rsidP="008948EB">
            <w:pPr>
              <w:spacing w:line="260" w:lineRule="exact"/>
              <w:jc w:val="right"/>
              <w:rPr>
                <w:rFonts w:ascii="宋体" w:eastAsia="宋体" w:hAnsi="宋体" w:cs="宋体"/>
                <w:sz w:val="18"/>
                <w:szCs w:val="18"/>
              </w:rPr>
            </w:pP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--其他</w:t>
            </w:r>
          </w:p>
        </w:tc>
        <w:tc>
          <w:tcPr>
            <w:tcW w:w="3215" w:type="dxa"/>
            <w:tcBorders>
              <w:top w:val="single" w:sz="2" w:space="0" w:color="auto"/>
              <w:left w:val="single" w:sz="2" w:space="0" w:color="auto"/>
              <w:bottom w:val="single" w:sz="2" w:space="0" w:color="auto"/>
              <w:right w:val="single" w:sz="2" w:space="0" w:color="auto"/>
            </w:tcBorders>
            <w:vAlign w:val="center"/>
          </w:tcPr>
          <w:p w:rsidR="00745844" w:rsidRDefault="00745844" w:rsidP="008948EB">
            <w:pPr>
              <w:spacing w:line="260" w:lineRule="exact"/>
              <w:jc w:val="right"/>
              <w:rPr>
                <w:rFonts w:ascii="宋体" w:eastAsia="宋体" w:hAnsi="宋体" w:cs="宋体"/>
                <w:sz w:val="18"/>
                <w:szCs w:val="18"/>
              </w:rPr>
            </w:pPr>
          </w:p>
        </w:tc>
        <w:tc>
          <w:tcPr>
            <w:tcW w:w="3215" w:type="dxa"/>
            <w:tcBorders>
              <w:top w:val="single" w:sz="2" w:space="0" w:color="auto"/>
              <w:left w:val="single" w:sz="2" w:space="0" w:color="auto"/>
              <w:bottom w:val="single" w:sz="2" w:space="0" w:color="auto"/>
              <w:right w:val="single" w:sz="2" w:space="0" w:color="auto"/>
            </w:tcBorders>
            <w:vAlign w:val="center"/>
          </w:tcPr>
          <w:p w:rsidR="00745844" w:rsidRDefault="00745844" w:rsidP="008948EB">
            <w:pPr>
              <w:spacing w:line="260" w:lineRule="exact"/>
              <w:jc w:val="right"/>
              <w:rPr>
                <w:rFonts w:ascii="宋体" w:eastAsia="宋体" w:hAnsi="宋体" w:cs="宋体"/>
                <w:sz w:val="18"/>
                <w:szCs w:val="18"/>
              </w:rPr>
            </w:pP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对联营企业权益投资的账面价值</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3031AF" w:rsidP="008948EB">
            <w:pPr>
              <w:spacing w:line="260" w:lineRule="exact"/>
              <w:jc w:val="right"/>
              <w:rPr>
                <w:rFonts w:ascii="宋体" w:eastAsia="宋体" w:hAnsi="宋体" w:cs="宋体"/>
                <w:sz w:val="18"/>
                <w:szCs w:val="18"/>
              </w:rPr>
            </w:pPr>
            <w:r w:rsidRPr="003031AF">
              <w:rPr>
                <w:rFonts w:ascii="宋体" w:eastAsia="宋体" w:hAnsi="宋体" w:cs="宋体"/>
                <w:sz w:val="18"/>
                <w:szCs w:val="18"/>
              </w:rPr>
              <w:t>189,308,538.55</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206,078,629.50</w:t>
            </w:r>
          </w:p>
        </w:tc>
      </w:tr>
      <w:tr w:rsidR="005E250D"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5E250D" w:rsidRDefault="005E250D" w:rsidP="005E250D">
            <w:pPr>
              <w:spacing w:before="40" w:after="40" w:line="260" w:lineRule="exact"/>
              <w:rPr>
                <w:rFonts w:ascii="宋体" w:eastAsia="宋体" w:hAnsi="宋体" w:cs="宋体"/>
                <w:sz w:val="18"/>
                <w:szCs w:val="18"/>
              </w:rPr>
            </w:pPr>
            <w:r>
              <w:rPr>
                <w:rFonts w:ascii="宋体" w:eastAsia="宋体" w:hAnsi="宋体" w:cs="宋体" w:hint="eastAsia"/>
                <w:sz w:val="18"/>
                <w:szCs w:val="18"/>
              </w:rPr>
              <w:t>存在公开报价的联营企业权益投资的公允价值</w:t>
            </w:r>
          </w:p>
        </w:tc>
        <w:tc>
          <w:tcPr>
            <w:tcW w:w="3215"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370,910,290.24</w:t>
            </w:r>
          </w:p>
        </w:tc>
        <w:tc>
          <w:tcPr>
            <w:tcW w:w="3215" w:type="dxa"/>
            <w:tcBorders>
              <w:top w:val="single" w:sz="2" w:space="0" w:color="auto"/>
              <w:left w:val="single" w:sz="2" w:space="0" w:color="auto"/>
              <w:bottom w:val="single" w:sz="2" w:space="0" w:color="auto"/>
              <w:right w:val="single" w:sz="2" w:space="0" w:color="auto"/>
            </w:tcBorders>
            <w:vAlign w:val="center"/>
          </w:tcPr>
          <w:p w:rsidR="005E250D" w:rsidRDefault="005E250D" w:rsidP="005E250D">
            <w:pPr>
              <w:spacing w:line="240" w:lineRule="exact"/>
              <w:jc w:val="right"/>
              <w:rPr>
                <w:rFonts w:ascii="宋体" w:eastAsia="宋体" w:hAnsi="宋体" w:cs="宋体"/>
                <w:sz w:val="18"/>
                <w:szCs w:val="18"/>
              </w:rPr>
            </w:pPr>
            <w:r w:rsidRPr="000C166D">
              <w:rPr>
                <w:rFonts w:ascii="宋体" w:eastAsia="宋体" w:hAnsi="宋体" w:cs="宋体"/>
                <w:sz w:val="18"/>
                <w:szCs w:val="18"/>
              </w:rPr>
              <w:t>468,968,246.88</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营业收入</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3031AF" w:rsidP="008948EB">
            <w:pPr>
              <w:spacing w:line="260" w:lineRule="exact"/>
              <w:jc w:val="right"/>
              <w:rPr>
                <w:rFonts w:ascii="宋体" w:eastAsia="宋体" w:hAnsi="宋体" w:cs="宋体"/>
                <w:sz w:val="18"/>
                <w:szCs w:val="18"/>
              </w:rPr>
            </w:pPr>
            <w:r w:rsidRPr="003031AF">
              <w:rPr>
                <w:rFonts w:ascii="宋体" w:eastAsia="宋体" w:hAnsi="宋体" w:cs="宋体"/>
                <w:sz w:val="18"/>
                <w:szCs w:val="18"/>
              </w:rPr>
              <w:t>130,134,420.61</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213,743,273.35</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净利润</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3031AF" w:rsidP="008948EB">
            <w:pPr>
              <w:spacing w:line="260" w:lineRule="exact"/>
              <w:jc w:val="right"/>
              <w:rPr>
                <w:rFonts w:ascii="宋体" w:eastAsia="宋体" w:hAnsi="宋体" w:cs="宋体"/>
                <w:sz w:val="18"/>
                <w:szCs w:val="18"/>
              </w:rPr>
            </w:pPr>
            <w:r w:rsidRPr="003031AF">
              <w:rPr>
                <w:rFonts w:ascii="宋体" w:eastAsia="宋体" w:hAnsi="宋体" w:cs="宋体"/>
                <w:sz w:val="18"/>
                <w:szCs w:val="18"/>
              </w:rPr>
              <w:t>-97,216,797.52</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6F2213" w:rsidP="008948EB">
            <w:pPr>
              <w:spacing w:line="260" w:lineRule="exact"/>
              <w:jc w:val="right"/>
              <w:rPr>
                <w:rFonts w:ascii="宋体" w:eastAsia="宋体" w:hAnsi="宋体" w:cs="宋体"/>
                <w:sz w:val="18"/>
                <w:szCs w:val="18"/>
              </w:rPr>
            </w:pPr>
            <w:r w:rsidRPr="00D61F01">
              <w:rPr>
                <w:rFonts w:ascii="宋体" w:eastAsia="宋体" w:hAnsi="宋体" w:cs="宋体"/>
                <w:sz w:val="18"/>
                <w:szCs w:val="18"/>
              </w:rPr>
              <w:t>17,794,984.01</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终止经营的净利润</w:t>
            </w:r>
          </w:p>
        </w:tc>
        <w:tc>
          <w:tcPr>
            <w:tcW w:w="3215" w:type="dxa"/>
            <w:tcBorders>
              <w:top w:val="single" w:sz="2" w:space="0" w:color="auto"/>
              <w:left w:val="single" w:sz="2" w:space="0" w:color="auto"/>
              <w:bottom w:val="single" w:sz="2" w:space="0" w:color="auto"/>
              <w:right w:val="single" w:sz="2" w:space="0" w:color="auto"/>
            </w:tcBorders>
            <w:vAlign w:val="center"/>
          </w:tcPr>
          <w:p w:rsidR="00745844" w:rsidRDefault="00745844" w:rsidP="008948EB">
            <w:pPr>
              <w:spacing w:line="260" w:lineRule="exact"/>
              <w:jc w:val="right"/>
              <w:rPr>
                <w:rFonts w:ascii="宋体" w:eastAsia="宋体" w:hAnsi="宋体" w:cs="宋体"/>
                <w:sz w:val="18"/>
                <w:szCs w:val="18"/>
              </w:rPr>
            </w:pPr>
          </w:p>
        </w:tc>
        <w:tc>
          <w:tcPr>
            <w:tcW w:w="3215" w:type="dxa"/>
            <w:tcBorders>
              <w:top w:val="single" w:sz="2" w:space="0" w:color="auto"/>
              <w:left w:val="single" w:sz="2" w:space="0" w:color="auto"/>
              <w:bottom w:val="single" w:sz="2" w:space="0" w:color="auto"/>
              <w:right w:val="single" w:sz="2" w:space="0" w:color="auto"/>
            </w:tcBorders>
            <w:vAlign w:val="center"/>
          </w:tcPr>
          <w:p w:rsidR="00745844" w:rsidRDefault="00745844" w:rsidP="008948EB">
            <w:pPr>
              <w:spacing w:line="260" w:lineRule="exact"/>
              <w:jc w:val="right"/>
              <w:rPr>
                <w:rFonts w:ascii="宋体" w:eastAsia="宋体" w:hAnsi="宋体" w:cs="宋体"/>
                <w:sz w:val="18"/>
                <w:szCs w:val="18"/>
              </w:rPr>
            </w:pP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lastRenderedPageBreak/>
              <w:t>其他综合收益</w:t>
            </w:r>
          </w:p>
        </w:tc>
        <w:tc>
          <w:tcPr>
            <w:tcW w:w="3215" w:type="dxa"/>
            <w:tcBorders>
              <w:top w:val="single" w:sz="2" w:space="0" w:color="auto"/>
              <w:left w:val="single" w:sz="2" w:space="0" w:color="auto"/>
              <w:bottom w:val="single" w:sz="2" w:space="0" w:color="auto"/>
              <w:right w:val="single" w:sz="2" w:space="0" w:color="auto"/>
            </w:tcBorders>
            <w:vAlign w:val="center"/>
          </w:tcPr>
          <w:p w:rsidR="00745844" w:rsidRDefault="00745844" w:rsidP="008948EB">
            <w:pPr>
              <w:spacing w:line="260" w:lineRule="exact"/>
              <w:jc w:val="right"/>
              <w:rPr>
                <w:rFonts w:ascii="宋体" w:eastAsia="宋体" w:hAnsi="宋体" w:cs="宋体"/>
                <w:sz w:val="18"/>
                <w:szCs w:val="18"/>
              </w:rPr>
            </w:pPr>
          </w:p>
        </w:tc>
        <w:tc>
          <w:tcPr>
            <w:tcW w:w="3215" w:type="dxa"/>
            <w:tcBorders>
              <w:top w:val="single" w:sz="2" w:space="0" w:color="auto"/>
              <w:left w:val="single" w:sz="2" w:space="0" w:color="auto"/>
              <w:bottom w:val="single" w:sz="2" w:space="0" w:color="auto"/>
              <w:right w:val="single" w:sz="2" w:space="0" w:color="auto"/>
            </w:tcBorders>
            <w:vAlign w:val="center"/>
          </w:tcPr>
          <w:p w:rsidR="00745844" w:rsidRDefault="00745844" w:rsidP="008948EB">
            <w:pPr>
              <w:spacing w:line="260" w:lineRule="exact"/>
              <w:jc w:val="right"/>
              <w:rPr>
                <w:rFonts w:ascii="宋体" w:eastAsia="宋体" w:hAnsi="宋体" w:cs="宋体"/>
                <w:sz w:val="18"/>
                <w:szCs w:val="18"/>
              </w:rPr>
            </w:pP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综合收益总额</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D2096A" w:rsidP="008948EB">
            <w:pPr>
              <w:spacing w:line="260" w:lineRule="exact"/>
              <w:jc w:val="right"/>
              <w:rPr>
                <w:rFonts w:ascii="宋体" w:eastAsia="宋体" w:hAnsi="宋体" w:cs="宋体"/>
                <w:sz w:val="18"/>
                <w:szCs w:val="18"/>
              </w:rPr>
            </w:pPr>
            <w:r w:rsidRPr="00D2096A">
              <w:rPr>
                <w:rFonts w:ascii="宋体" w:eastAsia="宋体" w:hAnsi="宋体" w:cs="宋体"/>
                <w:sz w:val="18"/>
                <w:szCs w:val="18"/>
              </w:rPr>
              <w:t>-97,216,797.52</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6F2213" w:rsidP="008948EB">
            <w:pPr>
              <w:spacing w:line="260" w:lineRule="exact"/>
              <w:jc w:val="right"/>
              <w:rPr>
                <w:rFonts w:ascii="宋体" w:eastAsia="宋体" w:hAnsi="宋体" w:cs="宋体"/>
                <w:sz w:val="18"/>
                <w:szCs w:val="18"/>
              </w:rPr>
            </w:pPr>
            <w:r w:rsidRPr="00D61F01">
              <w:rPr>
                <w:rFonts w:ascii="宋体" w:eastAsia="宋体" w:hAnsi="宋体" w:cs="宋体"/>
                <w:sz w:val="18"/>
                <w:szCs w:val="18"/>
              </w:rPr>
              <w:t>17,794,984.01</w:t>
            </w:r>
          </w:p>
        </w:tc>
      </w:tr>
      <w:tr w:rsidR="00745844" w:rsidTr="008948EB">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本年度收到的来自联营企业的股利</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2,849,908.32</w:t>
            </w:r>
          </w:p>
        </w:tc>
        <w:tc>
          <w:tcPr>
            <w:tcW w:w="3215" w:type="dxa"/>
            <w:tcBorders>
              <w:top w:val="single" w:sz="2" w:space="0" w:color="auto"/>
              <w:left w:val="single" w:sz="2" w:space="0" w:color="auto"/>
              <w:bottom w:val="single" w:sz="2" w:space="0" w:color="auto"/>
              <w:right w:val="single" w:sz="2" w:space="0" w:color="auto"/>
            </w:tcBorders>
            <w:vAlign w:val="center"/>
          </w:tcPr>
          <w:p w:rsidR="00745844" w:rsidRDefault="00745844" w:rsidP="008948EB">
            <w:pPr>
              <w:spacing w:line="260" w:lineRule="exact"/>
              <w:jc w:val="right"/>
              <w:rPr>
                <w:rFonts w:ascii="宋体" w:eastAsia="宋体" w:hAnsi="宋体" w:cs="宋体"/>
                <w:sz w:val="18"/>
                <w:szCs w:val="18"/>
              </w:rPr>
            </w:pPr>
          </w:p>
        </w:tc>
      </w:tr>
    </w:tbl>
    <w:p w:rsidR="00745844" w:rsidRDefault="00745844" w:rsidP="00745844">
      <w:pPr>
        <w:keepNext/>
        <w:keepLines/>
        <w:spacing w:before="300" w:after="300" w:line="280" w:lineRule="exact"/>
        <w:outlineLvl w:val="3"/>
        <w:rPr>
          <w:rFonts w:ascii="宋体" w:eastAsia="宋体" w:hAnsi="宋体" w:cs="宋体"/>
          <w:b/>
          <w:bCs/>
          <w:szCs w:val="21"/>
        </w:rPr>
      </w:pPr>
      <w:bookmarkStart w:id="376" w:name="_Toc989259"/>
      <w:r>
        <w:rPr>
          <w:rFonts w:ascii="宋体" w:eastAsia="宋体" w:hAnsi="宋体" w:cs="宋体" w:hint="eastAsia"/>
          <w:b/>
          <w:bCs/>
          <w:szCs w:val="21"/>
        </w:rPr>
        <w:t>（3） 不重要的合营企业和联营企业的汇总财务信息</w:t>
      </w:r>
      <w:bookmarkEnd w:id="376"/>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5"/>
        <w:gridCol w:w="3215"/>
        <w:gridCol w:w="3215"/>
      </w:tblGrid>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rsidP="008948EB">
            <w:pPr>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jc w:val="center"/>
              <w:rPr>
                <w:rFonts w:ascii="宋体" w:eastAsia="宋体" w:hAnsi="宋体" w:cs="宋体"/>
                <w:sz w:val="18"/>
                <w:szCs w:val="18"/>
              </w:rPr>
            </w:pPr>
            <w:r>
              <w:rPr>
                <w:rFonts w:ascii="宋体" w:eastAsia="宋体" w:hAnsi="宋体" w:cs="宋体" w:hint="eastAsia"/>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jc w:val="center"/>
              <w:rPr>
                <w:rFonts w:ascii="宋体" w:eastAsia="宋体" w:hAnsi="宋体" w:cs="宋体"/>
                <w:sz w:val="18"/>
                <w:szCs w:val="18"/>
              </w:rPr>
            </w:pPr>
            <w:r>
              <w:rPr>
                <w:rFonts w:ascii="宋体" w:eastAsia="宋体" w:hAnsi="宋体" w:cs="宋体" w:hint="eastAsia"/>
                <w:sz w:val="18"/>
                <w:szCs w:val="18"/>
              </w:rPr>
              <w:t>期初余额/上期发生额</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合营企业：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rsidP="008948EB">
            <w:pPr>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rsidP="008948EB">
            <w:pPr>
              <w:spacing w:line="260" w:lineRule="exact"/>
            </w:pP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rsidP="008948EB">
            <w:pPr>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rsidP="008948EB">
            <w:pPr>
              <w:spacing w:line="260" w:lineRule="exact"/>
            </w:pP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联营企业：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rsidP="008948EB">
            <w:pPr>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rsidP="008948EB">
            <w:pPr>
              <w:spacing w:line="260" w:lineRule="exact"/>
            </w:pP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投资账面价值合计</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30,678,723.96</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32,278,025.35</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rsidP="008948EB">
            <w:pPr>
              <w:spacing w:line="26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rsidP="008948EB">
            <w:pPr>
              <w:spacing w:line="260" w:lineRule="exact"/>
            </w:pP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-1,364,045.30</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-2,902,389.04</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rPr>
                <w:rFonts w:ascii="宋体" w:eastAsia="宋体" w:hAnsi="宋体" w:cs="宋体"/>
                <w:sz w:val="18"/>
                <w:szCs w:val="18"/>
              </w:rPr>
            </w:pPr>
            <w:r>
              <w:rPr>
                <w:rFonts w:ascii="宋体" w:eastAsia="宋体" w:hAnsi="宋体" w:cs="宋体" w:hint="eastAsia"/>
                <w:sz w:val="18"/>
                <w:szCs w:val="18"/>
              </w:rPr>
              <w:t>--综合收益总额</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-1,364,045.30</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8948EB">
            <w:pPr>
              <w:spacing w:line="260" w:lineRule="exact"/>
              <w:jc w:val="right"/>
              <w:rPr>
                <w:rFonts w:ascii="宋体" w:eastAsia="宋体" w:hAnsi="宋体" w:cs="宋体"/>
                <w:sz w:val="18"/>
                <w:szCs w:val="18"/>
              </w:rPr>
            </w:pPr>
            <w:r>
              <w:rPr>
                <w:rFonts w:ascii="宋体" w:eastAsia="宋体" w:hAnsi="宋体" w:cs="宋体" w:hint="eastAsia"/>
                <w:sz w:val="18"/>
                <w:szCs w:val="18"/>
              </w:rPr>
              <w:t>-2,902,389.04</w:t>
            </w:r>
          </w:p>
        </w:tc>
      </w:tr>
    </w:tbl>
    <w:p w:rsidR="00745844" w:rsidRDefault="00745844" w:rsidP="00745844">
      <w:pPr>
        <w:pStyle w:val="2"/>
        <w:spacing w:before="300" w:after="300" w:line="320" w:lineRule="exact"/>
        <w:rPr>
          <w:rFonts w:ascii="宋体" w:eastAsia="宋体" w:hAnsi="宋体" w:cs="宋体"/>
          <w:b/>
          <w:bCs/>
          <w:sz w:val="24"/>
          <w:szCs w:val="24"/>
        </w:rPr>
      </w:pPr>
      <w:bookmarkStart w:id="377" w:name="_Toc989260"/>
      <w:r>
        <w:rPr>
          <w:rFonts w:ascii="宋体" w:eastAsia="宋体" w:hAnsi="宋体" w:cs="宋体" w:hint="eastAsia"/>
          <w:b/>
          <w:bCs/>
          <w:sz w:val="24"/>
          <w:szCs w:val="24"/>
        </w:rPr>
        <w:t>十一、政府补助</w:t>
      </w:r>
      <w:bookmarkEnd w:id="377"/>
    </w:p>
    <w:p w:rsidR="00745844" w:rsidRDefault="00745844" w:rsidP="00745844">
      <w:pPr>
        <w:pStyle w:val="3"/>
        <w:spacing w:line="280" w:lineRule="exact"/>
        <w:jc w:val="left"/>
        <w:rPr>
          <w:rFonts w:ascii="宋体" w:hAnsi="宋体" w:cs="宋体"/>
          <w:b/>
          <w:bCs/>
        </w:rPr>
      </w:pPr>
      <w:bookmarkStart w:id="378" w:name="_Toc989261"/>
      <w:r>
        <w:rPr>
          <w:rFonts w:ascii="宋体" w:hAnsi="宋体" w:cs="宋体" w:hint="eastAsia"/>
          <w:b/>
          <w:bCs/>
        </w:rPr>
        <w:t>1、报告期末按应收金额确认的政府补助</w:t>
      </w:r>
      <w:bookmarkEnd w:id="378"/>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spacing w:line="240" w:lineRule="exact"/>
        <w:rPr>
          <w:rFonts w:ascii="宋体" w:eastAsia="宋体" w:hAnsi="宋体" w:cs="宋体"/>
          <w:sz w:val="18"/>
          <w:szCs w:val="18"/>
        </w:rPr>
      </w:pPr>
      <w:r>
        <w:rPr>
          <w:rFonts w:ascii="宋体" w:eastAsia="宋体" w:hAnsi="宋体" w:cs="宋体" w:hint="eastAsia"/>
          <w:sz w:val="18"/>
          <w:szCs w:val="18"/>
        </w:rPr>
        <w:t>未能在预计时点收到预计金额的政府补助的原因</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pStyle w:val="3"/>
        <w:spacing w:line="280" w:lineRule="exact"/>
        <w:jc w:val="left"/>
        <w:rPr>
          <w:rFonts w:ascii="宋体" w:hAnsi="宋体" w:cs="宋体"/>
          <w:b/>
          <w:bCs/>
        </w:rPr>
      </w:pPr>
      <w:bookmarkStart w:id="379" w:name="_Toc989262"/>
      <w:r>
        <w:rPr>
          <w:rFonts w:ascii="宋体" w:hAnsi="宋体" w:cs="宋体" w:hint="eastAsia"/>
          <w:b/>
          <w:bCs/>
        </w:rPr>
        <w:t>2、涉及政府补助的负债项目</w:t>
      </w:r>
      <w:bookmarkEnd w:id="379"/>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pStyle w:val="3"/>
        <w:spacing w:line="280" w:lineRule="exact"/>
        <w:jc w:val="left"/>
        <w:rPr>
          <w:rFonts w:ascii="宋体" w:hAnsi="宋体" w:cs="宋体"/>
          <w:b/>
          <w:bCs/>
        </w:rPr>
      </w:pPr>
      <w:bookmarkStart w:id="380" w:name="_Toc989263"/>
      <w:r>
        <w:rPr>
          <w:rFonts w:ascii="宋体" w:hAnsi="宋体" w:cs="宋体" w:hint="eastAsia"/>
          <w:b/>
          <w:bCs/>
        </w:rPr>
        <w:t>3、计入当期损益的政府补助</w:t>
      </w:r>
      <w:bookmarkEnd w:id="380"/>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hint="eastAsia"/>
          <w:sz w:val="18"/>
          <w:szCs w:val="18"/>
        </w:rPr>
        <w:t>适用 □不适用</w:t>
      </w:r>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5"/>
        <w:gridCol w:w="3215"/>
        <w:gridCol w:w="3215"/>
      </w:tblGrid>
      <w:tr w:rsidR="00745844" w:rsidTr="00972CFC">
        <w:trPr>
          <w:trHeight w:val="240"/>
        </w:trPr>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jc w:val="center"/>
              <w:rPr>
                <w:rFonts w:ascii="宋体" w:eastAsia="宋体" w:hAnsi="宋体" w:cs="宋体"/>
                <w:sz w:val="18"/>
                <w:szCs w:val="18"/>
              </w:rPr>
            </w:pPr>
            <w:r>
              <w:rPr>
                <w:rFonts w:ascii="宋体" w:eastAsia="宋体" w:hAnsi="宋体" w:cs="宋体" w:hint="eastAsia"/>
                <w:sz w:val="18"/>
                <w:szCs w:val="18"/>
              </w:rPr>
              <w:t>会计科目</w:t>
            </w:r>
          </w:p>
        </w:tc>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jc w:val="center"/>
              <w:rPr>
                <w:rFonts w:ascii="宋体" w:eastAsia="宋体" w:hAnsi="宋体" w:cs="宋体"/>
                <w:sz w:val="18"/>
                <w:szCs w:val="18"/>
              </w:rPr>
            </w:pPr>
            <w:r>
              <w:rPr>
                <w:rFonts w:ascii="宋体" w:eastAsia="宋体" w:hAnsi="宋体" w:cs="宋体" w:hint="eastAsia"/>
                <w:sz w:val="18"/>
                <w:szCs w:val="18"/>
              </w:rPr>
              <w:t>本期发生额</w:t>
            </w:r>
          </w:p>
        </w:tc>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rsidP="008948EB">
            <w:pPr>
              <w:spacing w:before="40" w:after="40" w:line="260" w:lineRule="exact"/>
              <w:jc w:val="center"/>
              <w:rPr>
                <w:rFonts w:ascii="宋体" w:eastAsia="宋体" w:hAnsi="宋体" w:cs="宋体"/>
                <w:sz w:val="18"/>
                <w:szCs w:val="18"/>
              </w:rPr>
            </w:pPr>
            <w:r>
              <w:rPr>
                <w:rFonts w:ascii="宋体" w:eastAsia="宋体" w:hAnsi="宋体" w:cs="宋体" w:hint="eastAsia"/>
                <w:sz w:val="18"/>
                <w:szCs w:val="18"/>
              </w:rPr>
              <w:t>上期发生额</w:t>
            </w:r>
          </w:p>
        </w:tc>
      </w:tr>
      <w:tr w:rsidR="00953733" w:rsidTr="00972CFC">
        <w:trPr>
          <w:trHeight w:val="240"/>
        </w:trPr>
        <w:tc>
          <w:tcPr>
            <w:tcW w:w="3215" w:type="dxa"/>
            <w:tcBorders>
              <w:top w:val="single" w:sz="2" w:space="0" w:color="auto"/>
              <w:left w:val="single" w:sz="2" w:space="0" w:color="auto"/>
              <w:bottom w:val="single" w:sz="2" w:space="0" w:color="auto"/>
              <w:right w:val="single" w:sz="2" w:space="0" w:color="auto"/>
            </w:tcBorders>
            <w:vAlign w:val="center"/>
            <w:hideMark/>
          </w:tcPr>
          <w:p w:rsidR="00953733" w:rsidRDefault="00953733" w:rsidP="008948EB">
            <w:pPr>
              <w:spacing w:line="260" w:lineRule="exact"/>
              <w:rPr>
                <w:rFonts w:ascii="宋体" w:eastAsia="宋体" w:hAnsi="宋体" w:cs="宋体"/>
                <w:sz w:val="18"/>
                <w:szCs w:val="18"/>
              </w:rPr>
            </w:pPr>
            <w:r>
              <w:rPr>
                <w:rFonts w:ascii="宋体" w:eastAsia="宋体" w:hAnsi="宋体" w:cs="宋体" w:hint="eastAsia"/>
                <w:sz w:val="18"/>
                <w:szCs w:val="18"/>
              </w:rPr>
              <w:t>其他收益</w:t>
            </w:r>
          </w:p>
        </w:tc>
        <w:tc>
          <w:tcPr>
            <w:tcW w:w="3215" w:type="dxa"/>
            <w:tcBorders>
              <w:top w:val="single" w:sz="2" w:space="0" w:color="auto"/>
              <w:left w:val="single" w:sz="2" w:space="0" w:color="auto"/>
              <w:bottom w:val="single" w:sz="2" w:space="0" w:color="auto"/>
              <w:right w:val="single" w:sz="2" w:space="0" w:color="auto"/>
            </w:tcBorders>
            <w:vAlign w:val="center"/>
            <w:hideMark/>
          </w:tcPr>
          <w:p w:rsidR="00953733" w:rsidRDefault="00953733" w:rsidP="008948EB">
            <w:pPr>
              <w:spacing w:line="260" w:lineRule="exact"/>
              <w:jc w:val="right"/>
              <w:rPr>
                <w:rFonts w:ascii="宋体" w:eastAsia="宋体" w:hAnsi="宋体" w:cs="宋体"/>
                <w:sz w:val="18"/>
                <w:szCs w:val="18"/>
              </w:rPr>
            </w:pPr>
            <w:r w:rsidRPr="00353BBE">
              <w:rPr>
                <w:rFonts w:ascii="宋体" w:eastAsia="宋体" w:hAnsi="宋体" w:cs="宋体"/>
                <w:sz w:val="18"/>
                <w:szCs w:val="18"/>
              </w:rPr>
              <w:t>12,591,290.97</w:t>
            </w:r>
          </w:p>
        </w:tc>
        <w:tc>
          <w:tcPr>
            <w:tcW w:w="3215" w:type="dxa"/>
            <w:tcBorders>
              <w:top w:val="single" w:sz="2" w:space="0" w:color="auto"/>
              <w:left w:val="single" w:sz="2" w:space="0" w:color="auto"/>
              <w:bottom w:val="single" w:sz="2" w:space="0" w:color="auto"/>
              <w:right w:val="single" w:sz="2" w:space="0" w:color="auto"/>
            </w:tcBorders>
            <w:vAlign w:val="center"/>
          </w:tcPr>
          <w:p w:rsidR="00953733" w:rsidRDefault="00953733" w:rsidP="008948EB">
            <w:pPr>
              <w:spacing w:line="260" w:lineRule="exact"/>
              <w:jc w:val="right"/>
              <w:rPr>
                <w:rFonts w:ascii="宋体" w:eastAsia="宋体" w:hAnsi="宋体" w:cs="宋体"/>
                <w:sz w:val="18"/>
                <w:szCs w:val="18"/>
              </w:rPr>
            </w:pPr>
            <w:r w:rsidRPr="00D542E0">
              <w:rPr>
                <w:rFonts w:ascii="宋体" w:eastAsia="宋体" w:hAnsi="宋体" w:cs="宋体"/>
                <w:sz w:val="18"/>
                <w:szCs w:val="18"/>
              </w:rPr>
              <w:t>4,035,302.85</w:t>
            </w:r>
          </w:p>
        </w:tc>
      </w:tr>
      <w:tr w:rsidR="00745844" w:rsidTr="00972CFC">
        <w:trPr>
          <w:trHeight w:val="240"/>
        </w:trPr>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CD3739" w:rsidP="008948EB">
            <w:pPr>
              <w:spacing w:line="260" w:lineRule="exact"/>
              <w:rPr>
                <w:rFonts w:ascii="宋体" w:eastAsia="宋体" w:hAnsi="宋体" w:cs="宋体"/>
                <w:sz w:val="18"/>
                <w:szCs w:val="18"/>
              </w:rPr>
            </w:pPr>
            <w:r>
              <w:rPr>
                <w:rFonts w:ascii="宋体" w:eastAsia="宋体" w:hAnsi="宋体" w:cs="宋体" w:hint="eastAsia"/>
                <w:sz w:val="18"/>
                <w:szCs w:val="18"/>
              </w:rPr>
              <w:t>营业外收入</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D542E0" w:rsidP="008948EB">
            <w:pPr>
              <w:spacing w:line="260" w:lineRule="exact"/>
              <w:jc w:val="right"/>
              <w:rPr>
                <w:rFonts w:ascii="宋体" w:eastAsia="宋体" w:hAnsi="宋体" w:cs="宋体"/>
                <w:sz w:val="18"/>
                <w:szCs w:val="18"/>
              </w:rPr>
            </w:pPr>
            <w:r>
              <w:rPr>
                <w:rFonts w:ascii="宋体" w:eastAsia="宋体" w:hAnsi="宋体" w:cs="宋体"/>
                <w:sz w:val="18"/>
                <w:szCs w:val="18"/>
              </w:rPr>
              <w:t>-</w:t>
            </w:r>
          </w:p>
        </w:tc>
        <w:tc>
          <w:tcPr>
            <w:tcW w:w="3215" w:type="dxa"/>
            <w:tcBorders>
              <w:top w:val="single" w:sz="2" w:space="0" w:color="auto"/>
              <w:left w:val="single" w:sz="2" w:space="0" w:color="auto"/>
              <w:bottom w:val="single" w:sz="2" w:space="0" w:color="auto"/>
              <w:right w:val="single" w:sz="2" w:space="0" w:color="auto"/>
            </w:tcBorders>
            <w:vAlign w:val="center"/>
          </w:tcPr>
          <w:p w:rsidR="00745844" w:rsidRDefault="00D542E0" w:rsidP="008948EB">
            <w:pPr>
              <w:spacing w:line="260" w:lineRule="exact"/>
              <w:jc w:val="right"/>
              <w:rPr>
                <w:rFonts w:ascii="宋体" w:eastAsia="宋体" w:hAnsi="宋体" w:cs="宋体"/>
                <w:sz w:val="18"/>
                <w:szCs w:val="18"/>
              </w:rPr>
            </w:pPr>
            <w:r w:rsidRPr="00D542E0">
              <w:rPr>
                <w:rFonts w:ascii="宋体" w:eastAsia="宋体" w:hAnsi="宋体" w:cs="宋体"/>
                <w:sz w:val="18"/>
                <w:szCs w:val="18"/>
              </w:rPr>
              <w:t>2,312,616.85</w:t>
            </w:r>
          </w:p>
        </w:tc>
      </w:tr>
    </w:tbl>
    <w:p w:rsidR="00745844" w:rsidRDefault="00745844" w:rsidP="00745844">
      <w:pPr>
        <w:pStyle w:val="2"/>
        <w:spacing w:before="300" w:after="300" w:line="320" w:lineRule="exact"/>
        <w:rPr>
          <w:rFonts w:ascii="宋体" w:eastAsia="宋体" w:hAnsi="宋体" w:cs="宋体"/>
          <w:b/>
          <w:bCs/>
          <w:sz w:val="24"/>
          <w:szCs w:val="24"/>
        </w:rPr>
      </w:pPr>
      <w:bookmarkStart w:id="381" w:name="_Toc989264"/>
      <w:r>
        <w:rPr>
          <w:rFonts w:ascii="宋体" w:eastAsia="宋体" w:hAnsi="宋体" w:cs="宋体" w:hint="eastAsia"/>
          <w:b/>
          <w:bCs/>
          <w:sz w:val="24"/>
          <w:szCs w:val="24"/>
        </w:rPr>
        <w:t>十二、与金融工具相关的风险</w:t>
      </w:r>
      <w:bookmarkEnd w:id="381"/>
    </w:p>
    <w:p w:rsidR="00745844" w:rsidRDefault="00745844" w:rsidP="00745844">
      <w:pPr>
        <w:pStyle w:val="3"/>
        <w:spacing w:line="280" w:lineRule="exact"/>
        <w:jc w:val="left"/>
        <w:rPr>
          <w:rFonts w:ascii="宋体" w:hAnsi="宋体" w:cs="宋体"/>
          <w:b/>
          <w:bCs/>
        </w:rPr>
      </w:pPr>
      <w:bookmarkStart w:id="382" w:name="_Toc989265"/>
      <w:r>
        <w:rPr>
          <w:rFonts w:ascii="宋体" w:hAnsi="宋体" w:cs="宋体" w:hint="eastAsia"/>
          <w:b/>
          <w:bCs/>
        </w:rPr>
        <w:t>金融工具产生的各类风险</w:t>
      </w:r>
      <w:bookmarkEnd w:id="382"/>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sidRPr="00892FDB">
        <w:rPr>
          <w:rFonts w:cs="Times New Roman" w:hint="eastAsia"/>
          <w:color w:val="000000"/>
          <w:sz w:val="21"/>
          <w:szCs w:val="21"/>
        </w:rPr>
        <w:t>本公司与金融工具相关的风险源于本公司在经营过程中所确认的各类金融资产和金融负债，包括：信用风险、流动性风险和市场风险。</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sidRPr="00892FDB">
        <w:rPr>
          <w:rFonts w:cs="Times New Roman" w:hint="eastAsia"/>
          <w:color w:val="000000"/>
          <w:sz w:val="21"/>
          <w:szCs w:val="21"/>
        </w:rPr>
        <w:lastRenderedPageBreak/>
        <w:t>本公司与金融工具相关的各类风险的管理目标和政策的制度由本公司管理层负责。经营管理层通过职能部门负责日常的风险管理（例如本公司信用管理部对公司发生的赊销业务进行逐笔进行审核）。本公司内部审计部门对公司风险管理的政策和程序的执行情况进行日常监督，并且将有关发现及时报告给本公司审计委员会。</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sidRPr="00892FDB">
        <w:rPr>
          <w:rFonts w:cs="Times New Roman" w:hint="eastAsia"/>
          <w:color w:val="000000"/>
          <w:sz w:val="21"/>
          <w:szCs w:val="21"/>
        </w:rPr>
        <w:t>本公司风险管理的总体目标是在不过度影响公司竞争力和应变力的情况下，制定尽可能降低各类与金融工具相关风险的风险管理政策。</w:t>
      </w:r>
    </w:p>
    <w:p w:rsidR="00745844" w:rsidRPr="00892FDB" w:rsidRDefault="00892FDB"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（1）</w:t>
      </w:r>
      <w:r w:rsidR="00745844" w:rsidRPr="00892FDB">
        <w:rPr>
          <w:rFonts w:cs="Times New Roman" w:hint="eastAsia"/>
          <w:color w:val="000000"/>
          <w:sz w:val="21"/>
          <w:szCs w:val="21"/>
        </w:rPr>
        <w:t>信用风险</w:t>
      </w:r>
    </w:p>
    <w:p w:rsidR="006C26C5"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信用风险，是指金融工具的一方未能履行义务从而导致另一方发生财务损失的风险。本公司的信用风险主要产生于货币资金、应收票据、应收账款、其他应</w:t>
      </w:r>
    </w:p>
    <w:p w:rsidR="003136B3" w:rsidRDefault="00745844" w:rsidP="003136B3">
      <w:pPr>
        <w:pStyle w:val="a3"/>
        <w:widowControl w:val="0"/>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收款以及长期应收款等，这些金融资产的信用风险源自交易对手违约，最大的风险敞口等于这些工具的账面金额。</w:t>
      </w:r>
    </w:p>
    <w:p w:rsidR="00745844" w:rsidRPr="00892FDB" w:rsidRDefault="00745844" w:rsidP="003136B3">
      <w:pPr>
        <w:pStyle w:val="a3"/>
        <w:widowControl w:val="0"/>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本公司货币资金主要存放于商业银行等金融机构，本公司认为这些商业银行具备较高信誉和资产状况，存在较低的信用风险。</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对于应收票据、应收账款、其他应收款及长期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rsidR="00745844" w:rsidRPr="00892FDB" w:rsidRDefault="00892FDB"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①</w:t>
      </w:r>
      <w:r w:rsidR="00745844">
        <w:rPr>
          <w:rFonts w:cs="Times New Roman" w:hint="eastAsia"/>
          <w:color w:val="000000"/>
          <w:sz w:val="21"/>
          <w:szCs w:val="21"/>
        </w:rPr>
        <w:t>信用风险显著增加判断标准</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rsidR="00745844" w:rsidRPr="00892FDB" w:rsidRDefault="00892FDB"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②</w:t>
      </w:r>
      <w:r w:rsidR="00745844">
        <w:rPr>
          <w:rFonts w:cs="Times New Roman" w:hint="eastAsia"/>
          <w:color w:val="000000"/>
          <w:sz w:val="21"/>
          <w:szCs w:val="21"/>
        </w:rPr>
        <w:t>已发生信用减值资产的定义</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lastRenderedPageBreak/>
        <w:t>为确定是否发生信用减值，本公司所采用的界定标准，与内部针对相关金融工具的信用风险管理目标保持一致</w:t>
      </w:r>
      <w:r w:rsidRPr="00892FDB">
        <w:rPr>
          <w:rFonts w:cs="Times New Roman"/>
          <w:color w:val="000000"/>
          <w:sz w:val="21"/>
          <w:szCs w:val="21"/>
        </w:rPr>
        <w:t>,</w:t>
      </w:r>
      <w:r>
        <w:rPr>
          <w:rFonts w:cs="Times New Roman" w:hint="eastAsia"/>
          <w:color w:val="000000"/>
          <w:sz w:val="21"/>
          <w:szCs w:val="21"/>
        </w:rPr>
        <w:t>同时考虑定量、定性指标。</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w:t>
      </w:r>
      <w:proofErr w:type="gramStart"/>
      <w:r>
        <w:rPr>
          <w:rFonts w:cs="Times New Roman" w:hint="eastAsia"/>
          <w:color w:val="000000"/>
          <w:sz w:val="21"/>
          <w:szCs w:val="21"/>
        </w:rPr>
        <w:t>购买或源生</w:t>
      </w:r>
      <w:proofErr w:type="gramEnd"/>
      <w:r>
        <w:rPr>
          <w:rFonts w:cs="Times New Roman" w:hint="eastAsia"/>
          <w:color w:val="000000"/>
          <w:sz w:val="21"/>
          <w:szCs w:val="21"/>
        </w:rPr>
        <w:t>一项金融资产，该折扣反映了发生信用损失的事实。</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金融资产发生信用减值，有可能是多个事件的共同作用所致，未必是可单独识别的事件所致。</w:t>
      </w:r>
    </w:p>
    <w:p w:rsidR="00745844" w:rsidRPr="00892FDB" w:rsidRDefault="00892FDB"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③</w:t>
      </w:r>
      <w:r w:rsidR="00745844">
        <w:rPr>
          <w:rFonts w:cs="Times New Roman" w:hint="eastAsia"/>
          <w:color w:val="000000"/>
          <w:sz w:val="21"/>
          <w:szCs w:val="21"/>
        </w:rPr>
        <w:t>预期信用损失计量的参数</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根据信用风险是否发生显著增加以及是否已发生信用减值，本公司对不同的资产分别以</w:t>
      </w:r>
      <w:r w:rsidRPr="00892FDB">
        <w:rPr>
          <w:rFonts w:cs="Times New Roman"/>
          <w:color w:val="000000"/>
          <w:sz w:val="21"/>
          <w:szCs w:val="21"/>
        </w:rPr>
        <w:t>12</w:t>
      </w:r>
      <w:r>
        <w:rPr>
          <w:rFonts w:cs="Times New Roman" w:hint="eastAsia"/>
          <w:color w:val="000000"/>
          <w:sz w:val="21"/>
          <w:szCs w:val="21"/>
        </w:rPr>
        <w:t>个月或整个存续期的预期信用损失计量减值准备。预期信用损失计量的关键参数包括违约概率、违约损失率和违约风险敞口。本公司考虑历史统计数据</w:t>
      </w:r>
      <w:r w:rsidRPr="00892FDB">
        <w:rPr>
          <w:rFonts w:cs="Times New Roman"/>
          <w:color w:val="000000"/>
          <w:sz w:val="21"/>
          <w:szCs w:val="21"/>
        </w:rPr>
        <w:t>(</w:t>
      </w:r>
      <w:r>
        <w:rPr>
          <w:rFonts w:cs="Times New Roman" w:hint="eastAsia"/>
          <w:color w:val="000000"/>
          <w:sz w:val="21"/>
          <w:szCs w:val="21"/>
        </w:rPr>
        <w:t>如交易对手评级、担保</w:t>
      </w:r>
      <w:proofErr w:type="gramStart"/>
      <w:r>
        <w:rPr>
          <w:rFonts w:cs="Times New Roman" w:hint="eastAsia"/>
          <w:color w:val="000000"/>
          <w:sz w:val="21"/>
          <w:szCs w:val="21"/>
        </w:rPr>
        <w:t>方式及抵质押</w:t>
      </w:r>
      <w:proofErr w:type="gramEnd"/>
      <w:r>
        <w:rPr>
          <w:rFonts w:cs="Times New Roman" w:hint="eastAsia"/>
          <w:color w:val="000000"/>
          <w:sz w:val="21"/>
          <w:szCs w:val="21"/>
        </w:rPr>
        <w:t>物类别、还款方式等</w:t>
      </w:r>
      <w:r w:rsidRPr="00892FDB">
        <w:rPr>
          <w:rFonts w:cs="Times New Roman"/>
          <w:color w:val="000000"/>
          <w:sz w:val="21"/>
          <w:szCs w:val="21"/>
        </w:rPr>
        <w:t>)</w:t>
      </w:r>
      <w:r>
        <w:rPr>
          <w:rFonts w:cs="Times New Roman" w:hint="eastAsia"/>
          <w:color w:val="000000"/>
          <w:sz w:val="21"/>
          <w:szCs w:val="21"/>
        </w:rPr>
        <w:t>的定量分析及前瞻性信息，建立违约概率、违约损失率及违约风险敞口模型。</w:t>
      </w:r>
    </w:p>
    <w:p w:rsidR="00745844" w:rsidRPr="00892FDB" w:rsidRDefault="00892FDB"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w:t>
      </w:r>
      <w:r>
        <w:rPr>
          <w:rFonts w:cs="Times New Roman"/>
          <w:color w:val="000000"/>
          <w:sz w:val="21"/>
          <w:szCs w:val="21"/>
        </w:rPr>
        <w:t>2</w:t>
      </w:r>
      <w:r>
        <w:rPr>
          <w:rFonts w:cs="Times New Roman" w:hint="eastAsia"/>
          <w:color w:val="000000"/>
          <w:sz w:val="21"/>
          <w:szCs w:val="21"/>
        </w:rPr>
        <w:t>）</w:t>
      </w:r>
      <w:r w:rsidR="00745844" w:rsidRPr="00892FDB">
        <w:rPr>
          <w:rFonts w:cs="Times New Roman" w:hint="eastAsia"/>
          <w:color w:val="000000"/>
          <w:sz w:val="21"/>
          <w:szCs w:val="21"/>
        </w:rPr>
        <w:t>流动性风险</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流动性风险，是指企业在履行以交付现金或其他金融资产的方式结算的义务时发生资金短缺的风险。本公司统筹负责公司内各子公司的现金管理工作，包括现金盈余的短期投资和筹措贷款以应付预计现金需求。本公司的政策是定期监控短期和长期的流动资金需求，以及是否符合借款协议的规定，以确保维持充裕的现金储备和可供随时变现的有价证券。</w:t>
      </w:r>
    </w:p>
    <w:p w:rsidR="00745844" w:rsidRPr="00892FDB" w:rsidRDefault="00892FDB"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（3）</w:t>
      </w:r>
      <w:r w:rsidR="00745844" w:rsidRPr="00892FDB">
        <w:rPr>
          <w:rFonts w:cs="Times New Roman" w:hint="eastAsia"/>
          <w:color w:val="000000"/>
          <w:sz w:val="21"/>
          <w:szCs w:val="21"/>
        </w:rPr>
        <w:t>市场风险</w:t>
      </w:r>
    </w:p>
    <w:p w:rsidR="00745844" w:rsidRPr="00892FDB" w:rsidRDefault="00892FDB"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①</w:t>
      </w:r>
      <w:r w:rsidR="00745844">
        <w:rPr>
          <w:rFonts w:cs="Times New Roman" w:hint="eastAsia"/>
          <w:color w:val="000000"/>
          <w:sz w:val="21"/>
          <w:szCs w:val="21"/>
        </w:rPr>
        <w:t>外汇风险</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外汇风险是指金融工具的公允价值或未来现金流量因外汇汇率变动而发生波动的风险。本公司目前无经常性经营业务涉及外币收入与外币支出。</w:t>
      </w:r>
    </w:p>
    <w:p w:rsidR="00AF3ED5" w:rsidRDefault="00892FDB" w:rsidP="00AF3ED5">
      <w:pPr>
        <w:pStyle w:val="a3"/>
        <w:widowControl w:val="0"/>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②</w:t>
      </w:r>
      <w:r w:rsidR="00745844">
        <w:rPr>
          <w:rFonts w:cs="Times New Roman" w:hint="eastAsia"/>
          <w:color w:val="000000"/>
          <w:sz w:val="21"/>
          <w:szCs w:val="21"/>
        </w:rPr>
        <w:t>利率风险</w:t>
      </w:r>
    </w:p>
    <w:p w:rsidR="00745844" w:rsidRPr="00892FDB" w:rsidRDefault="00745844" w:rsidP="00AF3ED5">
      <w:pPr>
        <w:pStyle w:val="a3"/>
        <w:widowControl w:val="0"/>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本公司的利率风险主要产生于长期银行借款、应付债券等长期带息债务。浮动利率的金融负债使本公司面临现金流量利率风险，固定利率的金融负债使本公司面临公允价值利率风险。本公司根据当时的市场环境来决定固定利率及浮动利率合同的相对比例。</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本公司总部财务部门持续监控集团利率水平。利率上升会增加新增带息债务的成本以及本公司尚未付清的以浮动利率计息的带息债务的利息支出，并对本公司的财务业绩产生重大的不利影响，管理层会依据最新的市场状况及时做出调整。</w:t>
      </w:r>
    </w:p>
    <w:p w:rsidR="00745844" w:rsidRPr="00892FDB" w:rsidRDefault="00745844" w:rsidP="00892FDB">
      <w:pPr>
        <w:pStyle w:val="a3"/>
        <w:spacing w:before="0" w:beforeAutospacing="0" w:after="0" w:afterAutospacing="0" w:line="360" w:lineRule="auto"/>
        <w:ind w:firstLineChars="200" w:firstLine="420"/>
        <w:jc w:val="both"/>
        <w:rPr>
          <w:rFonts w:cs="Times New Roman"/>
          <w:color w:val="000000"/>
          <w:sz w:val="21"/>
          <w:szCs w:val="21"/>
        </w:rPr>
      </w:pPr>
      <w:r w:rsidRPr="00892FDB">
        <w:rPr>
          <w:rFonts w:cs="Times New Roman" w:hint="eastAsia"/>
          <w:color w:val="000000"/>
          <w:sz w:val="21"/>
          <w:szCs w:val="21"/>
        </w:rPr>
        <w:lastRenderedPageBreak/>
        <w:t>截止</w:t>
      </w:r>
      <w:r w:rsidRPr="00892FDB">
        <w:rPr>
          <w:rFonts w:cs="Times New Roman"/>
          <w:color w:val="000000"/>
          <w:sz w:val="21"/>
          <w:szCs w:val="21"/>
        </w:rPr>
        <w:t>2024</w:t>
      </w:r>
      <w:r w:rsidRPr="00892FDB">
        <w:rPr>
          <w:rFonts w:cs="Times New Roman" w:hint="eastAsia"/>
          <w:color w:val="000000"/>
          <w:sz w:val="21"/>
          <w:szCs w:val="21"/>
        </w:rPr>
        <w:t>年</w:t>
      </w:r>
      <w:r w:rsidRPr="00892FDB">
        <w:rPr>
          <w:rFonts w:cs="Times New Roman"/>
          <w:color w:val="000000"/>
          <w:sz w:val="21"/>
          <w:szCs w:val="21"/>
        </w:rPr>
        <w:t>12</w:t>
      </w:r>
      <w:r w:rsidRPr="00892FDB">
        <w:rPr>
          <w:rFonts w:cs="Times New Roman" w:hint="eastAsia"/>
          <w:color w:val="000000"/>
          <w:sz w:val="21"/>
          <w:szCs w:val="21"/>
        </w:rPr>
        <w:t>月</w:t>
      </w:r>
      <w:r w:rsidRPr="00892FDB">
        <w:rPr>
          <w:rFonts w:cs="Times New Roman"/>
          <w:color w:val="000000"/>
          <w:sz w:val="21"/>
          <w:szCs w:val="21"/>
        </w:rPr>
        <w:t>31</w:t>
      </w:r>
      <w:r w:rsidRPr="00892FDB">
        <w:rPr>
          <w:rFonts w:cs="Times New Roman" w:hint="eastAsia"/>
          <w:color w:val="000000"/>
          <w:sz w:val="21"/>
          <w:szCs w:val="21"/>
        </w:rPr>
        <w:t>日，本公司的借款基本为相对固定利率借款</w:t>
      </w:r>
      <w:r w:rsidRPr="00892FDB">
        <w:rPr>
          <w:rFonts w:cs="Times New Roman"/>
          <w:color w:val="000000"/>
          <w:sz w:val="21"/>
          <w:szCs w:val="21"/>
        </w:rPr>
        <w:t xml:space="preserve">, </w:t>
      </w:r>
      <w:r w:rsidRPr="00892FDB">
        <w:rPr>
          <w:rFonts w:cs="Times New Roman" w:hint="eastAsia"/>
          <w:color w:val="000000"/>
          <w:sz w:val="21"/>
          <w:szCs w:val="21"/>
        </w:rPr>
        <w:t>因此，本公司所承担的利率变动市场风险并不重大。</w:t>
      </w:r>
    </w:p>
    <w:p w:rsidR="00745844" w:rsidRDefault="00745844" w:rsidP="00745844">
      <w:pPr>
        <w:pStyle w:val="2"/>
        <w:spacing w:before="300" w:after="300" w:line="320" w:lineRule="exact"/>
        <w:rPr>
          <w:rFonts w:ascii="宋体" w:eastAsia="宋体" w:hAnsi="宋体" w:cs="宋体"/>
          <w:b/>
          <w:bCs/>
          <w:sz w:val="24"/>
          <w:szCs w:val="24"/>
        </w:rPr>
      </w:pPr>
      <w:bookmarkStart w:id="383" w:name="_Toc989266"/>
      <w:r>
        <w:rPr>
          <w:rFonts w:ascii="宋体" w:eastAsia="宋体" w:hAnsi="宋体" w:cs="宋体" w:hint="eastAsia"/>
          <w:b/>
          <w:bCs/>
          <w:sz w:val="24"/>
          <w:szCs w:val="24"/>
        </w:rPr>
        <w:t>十三、公允价值的披露</w:t>
      </w:r>
      <w:bookmarkEnd w:id="383"/>
    </w:p>
    <w:p w:rsidR="00745844" w:rsidRDefault="00745844" w:rsidP="00745844">
      <w:pPr>
        <w:pStyle w:val="3"/>
        <w:spacing w:line="280" w:lineRule="exact"/>
        <w:jc w:val="left"/>
        <w:rPr>
          <w:rFonts w:ascii="宋体" w:hAnsi="宋体" w:cs="宋体"/>
          <w:b/>
          <w:bCs/>
        </w:rPr>
      </w:pPr>
      <w:bookmarkStart w:id="384" w:name="_Toc989267"/>
      <w:r>
        <w:rPr>
          <w:rFonts w:ascii="宋体" w:hAnsi="宋体" w:cs="宋体" w:hint="eastAsia"/>
          <w:b/>
          <w:bCs/>
        </w:rPr>
        <w:t>1、以公允价值计量的资产和负债的期末公允价值</w:t>
      </w:r>
      <w:bookmarkEnd w:id="384"/>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52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2"/>
        <w:gridCol w:w="1929"/>
        <w:gridCol w:w="1929"/>
        <w:gridCol w:w="1528"/>
        <w:gridCol w:w="1584"/>
        <w:gridCol w:w="7"/>
      </w:tblGrid>
      <w:tr w:rsidR="00745844" w:rsidTr="007A7E7C">
        <w:trPr>
          <w:trHeight w:val="240"/>
        </w:trPr>
        <w:tc>
          <w:tcPr>
            <w:tcW w:w="2552"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w:t>
            </w:r>
          </w:p>
        </w:tc>
        <w:tc>
          <w:tcPr>
            <w:tcW w:w="6977" w:type="dxa"/>
            <w:gridSpan w:val="5"/>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期末公允价值</w:t>
            </w:r>
          </w:p>
        </w:tc>
      </w:tr>
      <w:tr w:rsidR="00745844" w:rsidTr="007A7E7C">
        <w:trPr>
          <w:gridAfter w:val="1"/>
          <w:wAfter w:w="7" w:type="dxa"/>
          <w:trHeight w:val="240"/>
        </w:trPr>
        <w:tc>
          <w:tcPr>
            <w:tcW w:w="2552"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929"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第一层次公允价值计量</w:t>
            </w:r>
          </w:p>
        </w:tc>
        <w:tc>
          <w:tcPr>
            <w:tcW w:w="1929"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第二层次公允价值计量</w:t>
            </w:r>
          </w:p>
        </w:tc>
        <w:tc>
          <w:tcPr>
            <w:tcW w:w="15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第三层次公允价值计量</w:t>
            </w:r>
          </w:p>
        </w:tc>
        <w:tc>
          <w:tcPr>
            <w:tcW w:w="158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合计</w:t>
            </w:r>
          </w:p>
        </w:tc>
      </w:tr>
      <w:tr w:rsidR="00745844" w:rsidTr="007A7E7C">
        <w:trPr>
          <w:gridAfter w:val="1"/>
          <w:wAfter w:w="7" w:type="dxa"/>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一、持续的公允价值计量</w:t>
            </w:r>
          </w:p>
        </w:tc>
        <w:tc>
          <w:tcPr>
            <w:tcW w:w="1929"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1929"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15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158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w:t>
            </w:r>
          </w:p>
        </w:tc>
      </w:tr>
      <w:tr w:rsidR="00745844" w:rsidTr="007A7E7C">
        <w:trPr>
          <w:gridAfter w:val="1"/>
          <w:wAfter w:w="7" w:type="dxa"/>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（一）交易性金融资产</w:t>
            </w:r>
          </w:p>
        </w:tc>
        <w:tc>
          <w:tcPr>
            <w:tcW w:w="1929"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9"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212,691,865.42</w:t>
            </w:r>
          </w:p>
        </w:tc>
        <w:tc>
          <w:tcPr>
            <w:tcW w:w="15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58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212,691,865.42</w:t>
            </w:r>
          </w:p>
        </w:tc>
      </w:tr>
      <w:tr w:rsidR="00745844" w:rsidTr="007A7E7C">
        <w:trPr>
          <w:gridAfter w:val="1"/>
          <w:wAfter w:w="7" w:type="dxa"/>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1.以公允价值计量且其变动计入当期损益的金融资产</w:t>
            </w:r>
          </w:p>
        </w:tc>
        <w:tc>
          <w:tcPr>
            <w:tcW w:w="1929"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9"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212,691,865.42</w:t>
            </w:r>
          </w:p>
        </w:tc>
        <w:tc>
          <w:tcPr>
            <w:tcW w:w="15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58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212,691,865.42</w:t>
            </w:r>
          </w:p>
        </w:tc>
      </w:tr>
      <w:tr w:rsidR="00745844" w:rsidTr="007A7E7C">
        <w:trPr>
          <w:gridAfter w:val="1"/>
          <w:wAfter w:w="7" w:type="dxa"/>
          <w:trHeight w:val="240"/>
        </w:trPr>
        <w:tc>
          <w:tcPr>
            <w:tcW w:w="255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（4）理财产品</w:t>
            </w:r>
          </w:p>
        </w:tc>
        <w:tc>
          <w:tcPr>
            <w:tcW w:w="1929"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9"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212,691,865.42</w:t>
            </w:r>
          </w:p>
        </w:tc>
        <w:tc>
          <w:tcPr>
            <w:tcW w:w="15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58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212,691,865.42</w:t>
            </w:r>
          </w:p>
        </w:tc>
      </w:tr>
      <w:tr w:rsidR="00745844" w:rsidTr="007A7E7C">
        <w:trPr>
          <w:gridAfter w:val="1"/>
          <w:wAfter w:w="7" w:type="dxa"/>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（三）其他权益工具投资</w:t>
            </w:r>
          </w:p>
        </w:tc>
        <w:tc>
          <w:tcPr>
            <w:tcW w:w="1929"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9"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5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58,611,906.40</w:t>
            </w:r>
          </w:p>
        </w:tc>
        <w:tc>
          <w:tcPr>
            <w:tcW w:w="158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58,611,906.40</w:t>
            </w:r>
          </w:p>
        </w:tc>
      </w:tr>
      <w:tr w:rsidR="00745844" w:rsidTr="007A7E7C">
        <w:trPr>
          <w:gridAfter w:val="1"/>
          <w:wAfter w:w="7" w:type="dxa"/>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持续以公允价值计量的资产总额</w:t>
            </w:r>
          </w:p>
        </w:tc>
        <w:tc>
          <w:tcPr>
            <w:tcW w:w="1929"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9"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212,691,865.42</w:t>
            </w:r>
          </w:p>
        </w:tc>
        <w:tc>
          <w:tcPr>
            <w:tcW w:w="15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58,611,906.40</w:t>
            </w:r>
          </w:p>
        </w:tc>
        <w:tc>
          <w:tcPr>
            <w:tcW w:w="158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271,303,771.82</w:t>
            </w:r>
          </w:p>
        </w:tc>
      </w:tr>
      <w:tr w:rsidR="00745844" w:rsidTr="007A7E7C">
        <w:trPr>
          <w:gridAfter w:val="1"/>
          <w:wAfter w:w="7" w:type="dxa"/>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二、非持续的公允价值计量</w:t>
            </w:r>
          </w:p>
        </w:tc>
        <w:tc>
          <w:tcPr>
            <w:tcW w:w="1929"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1929"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15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w:t>
            </w:r>
          </w:p>
        </w:tc>
        <w:tc>
          <w:tcPr>
            <w:tcW w:w="158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w:t>
            </w:r>
          </w:p>
        </w:tc>
      </w:tr>
    </w:tbl>
    <w:p w:rsidR="00745844" w:rsidRDefault="00745844" w:rsidP="00745844">
      <w:pPr>
        <w:pStyle w:val="3"/>
        <w:spacing w:line="280" w:lineRule="exact"/>
        <w:jc w:val="left"/>
        <w:rPr>
          <w:rFonts w:ascii="宋体" w:hAnsi="宋体" w:cs="宋体"/>
          <w:b/>
          <w:bCs/>
        </w:rPr>
      </w:pPr>
      <w:bookmarkStart w:id="385" w:name="_Toc989268"/>
      <w:r>
        <w:rPr>
          <w:rFonts w:ascii="宋体" w:hAnsi="宋体" w:cs="宋体" w:hint="eastAsia"/>
          <w:b/>
          <w:bCs/>
        </w:rPr>
        <w:t>2、持续和非持续第一层次公允价值计量项目市价的确定依据</w:t>
      </w:r>
      <w:bookmarkEnd w:id="385"/>
    </w:p>
    <w:p w:rsidR="00745844" w:rsidRPr="007A7E7C" w:rsidRDefault="00745844" w:rsidP="007A7E7C">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公司的交易性金融资产</w:t>
      </w:r>
      <w:r w:rsidRPr="007A7E7C">
        <w:rPr>
          <w:rFonts w:cs="Times New Roman"/>
          <w:color w:val="000000"/>
          <w:sz w:val="21"/>
          <w:szCs w:val="21"/>
        </w:rPr>
        <w:t>-</w:t>
      </w:r>
      <w:r>
        <w:rPr>
          <w:rFonts w:cs="Times New Roman" w:hint="eastAsia"/>
          <w:color w:val="000000"/>
          <w:sz w:val="21"/>
          <w:szCs w:val="21"/>
        </w:rPr>
        <w:t>证券投资在每一报告年末以公允价值计量。持续第一层次公允价值计量项目市价的确定依据为资产负债表日的收盘价。</w:t>
      </w:r>
    </w:p>
    <w:p w:rsidR="00745844" w:rsidRDefault="00745844" w:rsidP="00745844">
      <w:pPr>
        <w:pStyle w:val="3"/>
        <w:spacing w:line="280" w:lineRule="exact"/>
        <w:jc w:val="left"/>
        <w:rPr>
          <w:rFonts w:ascii="宋体" w:hAnsi="宋体" w:cs="宋体"/>
          <w:b/>
          <w:bCs/>
        </w:rPr>
      </w:pPr>
      <w:bookmarkStart w:id="386" w:name="_Toc989269"/>
      <w:r>
        <w:rPr>
          <w:rFonts w:ascii="宋体" w:hAnsi="宋体" w:cs="宋体" w:hint="eastAsia"/>
          <w:b/>
          <w:bCs/>
        </w:rPr>
        <w:t>3、持续和非持续第二层次公允价值计量项目，采用的估值技术和重要参数的定性及定量信息</w:t>
      </w:r>
      <w:bookmarkEnd w:id="386"/>
    </w:p>
    <w:p w:rsidR="00745844" w:rsidRPr="007A7E7C" w:rsidRDefault="00745844" w:rsidP="007A7E7C">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公司的交易性金融资产</w:t>
      </w:r>
      <w:r w:rsidRPr="007A7E7C">
        <w:rPr>
          <w:rFonts w:cs="Times New Roman"/>
          <w:color w:val="000000"/>
          <w:sz w:val="21"/>
          <w:szCs w:val="21"/>
        </w:rPr>
        <w:t>-</w:t>
      </w:r>
      <w:r>
        <w:rPr>
          <w:rFonts w:cs="Times New Roman" w:hint="eastAsia"/>
          <w:color w:val="000000"/>
          <w:sz w:val="21"/>
          <w:szCs w:val="21"/>
        </w:rPr>
        <w:t>理财产品、其他流动资产</w:t>
      </w:r>
      <w:r w:rsidRPr="007A7E7C">
        <w:rPr>
          <w:rFonts w:cs="Times New Roman"/>
          <w:color w:val="000000"/>
          <w:sz w:val="21"/>
          <w:szCs w:val="21"/>
        </w:rPr>
        <w:t>-</w:t>
      </w:r>
      <w:r>
        <w:rPr>
          <w:rFonts w:cs="Times New Roman" w:hint="eastAsia"/>
          <w:color w:val="000000"/>
          <w:sz w:val="21"/>
          <w:szCs w:val="21"/>
        </w:rPr>
        <w:t>结构性存款在每一报告年末以公允价值计量。持续第二层次公允价值计量项目市价的确定依据：交易性金融资产</w:t>
      </w:r>
      <w:r w:rsidRPr="007A7E7C">
        <w:rPr>
          <w:rFonts w:cs="Times New Roman"/>
          <w:color w:val="000000"/>
          <w:sz w:val="21"/>
          <w:szCs w:val="21"/>
        </w:rPr>
        <w:t>-</w:t>
      </w:r>
      <w:r>
        <w:rPr>
          <w:rFonts w:cs="Times New Roman" w:hint="eastAsia"/>
          <w:color w:val="000000"/>
          <w:sz w:val="21"/>
          <w:szCs w:val="21"/>
        </w:rPr>
        <w:t>理财产品根据</w:t>
      </w:r>
      <w:proofErr w:type="gramStart"/>
      <w:r>
        <w:rPr>
          <w:rFonts w:cs="Times New Roman" w:hint="eastAsia"/>
          <w:color w:val="000000"/>
          <w:sz w:val="21"/>
          <w:szCs w:val="21"/>
        </w:rPr>
        <w:t>产品官网发布</w:t>
      </w:r>
      <w:proofErr w:type="gramEnd"/>
      <w:r>
        <w:rPr>
          <w:rFonts w:cs="Times New Roman" w:hint="eastAsia"/>
          <w:color w:val="000000"/>
          <w:sz w:val="21"/>
          <w:szCs w:val="21"/>
        </w:rPr>
        <w:t>的产品净值或到期收益率计算收益确定。其他流动资产</w:t>
      </w:r>
      <w:r w:rsidRPr="007A7E7C">
        <w:rPr>
          <w:rFonts w:cs="Times New Roman"/>
          <w:color w:val="000000"/>
          <w:sz w:val="21"/>
          <w:szCs w:val="21"/>
        </w:rPr>
        <w:t>-</w:t>
      </w:r>
      <w:r>
        <w:rPr>
          <w:rFonts w:cs="Times New Roman" w:hint="eastAsia"/>
          <w:color w:val="000000"/>
          <w:sz w:val="21"/>
          <w:szCs w:val="21"/>
        </w:rPr>
        <w:t>结构性存款在本金基础上根据</w:t>
      </w:r>
      <w:r w:rsidRPr="007A7E7C">
        <w:rPr>
          <w:rFonts w:cs="Times New Roman"/>
          <w:color w:val="000000"/>
          <w:sz w:val="21"/>
          <w:szCs w:val="21"/>
        </w:rPr>
        <w:t>Bloomberg</w:t>
      </w:r>
      <w:r>
        <w:rPr>
          <w:rFonts w:cs="Times New Roman" w:hint="eastAsia"/>
          <w:color w:val="000000"/>
          <w:sz w:val="21"/>
          <w:szCs w:val="21"/>
        </w:rPr>
        <w:t>公布的观察日即期汇率及其所属区间对应的收益率或观察期内即期汇率的波动情况对应的收益率确定。</w:t>
      </w:r>
    </w:p>
    <w:p w:rsidR="00745844" w:rsidRDefault="00745844" w:rsidP="00745844">
      <w:pPr>
        <w:pStyle w:val="3"/>
        <w:spacing w:line="280" w:lineRule="exact"/>
        <w:jc w:val="left"/>
        <w:rPr>
          <w:rFonts w:ascii="宋体" w:hAnsi="宋体" w:cs="宋体"/>
          <w:b/>
          <w:bCs/>
        </w:rPr>
      </w:pPr>
      <w:bookmarkStart w:id="387" w:name="_Toc989270"/>
      <w:r>
        <w:rPr>
          <w:rFonts w:ascii="宋体" w:hAnsi="宋体" w:cs="宋体" w:hint="eastAsia"/>
          <w:b/>
          <w:bCs/>
        </w:rPr>
        <w:t>4、持续和非持续第三层次公允价值计量项目，采用的估值技术和重要参数的定性及定量信息</w:t>
      </w:r>
      <w:bookmarkEnd w:id="387"/>
    </w:p>
    <w:p w:rsidR="00745844" w:rsidRPr="007A7E7C" w:rsidRDefault="00745844" w:rsidP="007A7E7C">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公司的其他权益工具投资在每一报告年末以公允价值计量，对于不在活跃市场上交易的金融工具，本公司采用估值技术确定其公允价值。</w:t>
      </w:r>
    </w:p>
    <w:p w:rsidR="00745844" w:rsidRDefault="00745844" w:rsidP="00745844">
      <w:pPr>
        <w:pStyle w:val="3"/>
        <w:spacing w:line="280" w:lineRule="exact"/>
        <w:jc w:val="left"/>
        <w:rPr>
          <w:rFonts w:ascii="宋体" w:hAnsi="宋体" w:cs="宋体"/>
          <w:b/>
          <w:bCs/>
        </w:rPr>
      </w:pPr>
      <w:bookmarkStart w:id="388" w:name="_Toc989271"/>
      <w:r>
        <w:rPr>
          <w:rFonts w:ascii="宋体" w:hAnsi="宋体" w:cs="宋体" w:hint="eastAsia"/>
          <w:b/>
          <w:bCs/>
        </w:rPr>
        <w:lastRenderedPageBreak/>
        <w:t>5、不以公允价值计量的金融资产和金融负债的公允价值情况</w:t>
      </w:r>
      <w:bookmarkEnd w:id="388"/>
    </w:p>
    <w:p w:rsidR="00745844" w:rsidRPr="007A7E7C" w:rsidRDefault="00745844" w:rsidP="007A7E7C">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本公司以摊</w:t>
      </w:r>
      <w:proofErr w:type="gramStart"/>
      <w:r>
        <w:rPr>
          <w:rFonts w:cs="Times New Roman" w:hint="eastAsia"/>
          <w:color w:val="000000"/>
          <w:sz w:val="21"/>
          <w:szCs w:val="21"/>
        </w:rPr>
        <w:t>余成本</w:t>
      </w:r>
      <w:proofErr w:type="gramEnd"/>
      <w:r>
        <w:rPr>
          <w:rFonts w:cs="Times New Roman" w:hint="eastAsia"/>
          <w:color w:val="000000"/>
          <w:sz w:val="21"/>
          <w:szCs w:val="21"/>
        </w:rPr>
        <w:t>计量的金融资产和金融负债主要包括：货币资金、应收票据、应收账款、其他应收款、短期借款、应付票据、应付账款、其他应付款、一年内到期的长期借款、长期应付款、长期借款和应付债券等，上述不以公允价值计量的金融资产和金融负债的账面价值与公允价值相差很小。</w:t>
      </w:r>
    </w:p>
    <w:p w:rsidR="00745844" w:rsidRDefault="00745844" w:rsidP="00745844">
      <w:pPr>
        <w:pStyle w:val="2"/>
        <w:spacing w:before="300" w:after="300" w:line="320" w:lineRule="exact"/>
        <w:rPr>
          <w:rFonts w:ascii="宋体" w:eastAsia="宋体" w:hAnsi="宋体" w:cs="宋体"/>
          <w:b/>
          <w:bCs/>
          <w:sz w:val="24"/>
          <w:szCs w:val="24"/>
        </w:rPr>
      </w:pPr>
      <w:bookmarkStart w:id="389" w:name="_Toc989272"/>
      <w:r>
        <w:rPr>
          <w:rFonts w:ascii="宋体" w:eastAsia="宋体" w:hAnsi="宋体" w:cs="宋体" w:hint="eastAsia"/>
          <w:b/>
          <w:bCs/>
          <w:sz w:val="24"/>
          <w:szCs w:val="24"/>
        </w:rPr>
        <w:t>十四、关联方及关联交易</w:t>
      </w:r>
      <w:bookmarkEnd w:id="389"/>
    </w:p>
    <w:p w:rsidR="00745844" w:rsidRDefault="00745844" w:rsidP="00745844">
      <w:pPr>
        <w:pStyle w:val="3"/>
        <w:spacing w:line="280" w:lineRule="exact"/>
        <w:jc w:val="left"/>
        <w:rPr>
          <w:rFonts w:ascii="宋体" w:hAnsi="宋体" w:cs="宋体"/>
          <w:b/>
          <w:bCs/>
        </w:rPr>
      </w:pPr>
      <w:bookmarkStart w:id="390" w:name="_Toc989273"/>
      <w:r>
        <w:rPr>
          <w:rFonts w:ascii="宋体" w:hAnsi="宋体" w:cs="宋体" w:hint="eastAsia"/>
          <w:b/>
          <w:bCs/>
        </w:rPr>
        <w:t>1、本企业的母公司情况</w:t>
      </w:r>
      <w:bookmarkEnd w:id="390"/>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07"/>
        <w:gridCol w:w="1607"/>
        <w:gridCol w:w="1607"/>
        <w:gridCol w:w="1608"/>
        <w:gridCol w:w="1608"/>
        <w:gridCol w:w="1608"/>
      </w:tblGrid>
      <w:tr w:rsidR="00745844" w:rsidTr="00953733">
        <w:trPr>
          <w:trHeight w:val="240"/>
        </w:trPr>
        <w:tc>
          <w:tcPr>
            <w:tcW w:w="160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母公司名称</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注册地</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业务性质</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注册资本</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母公司对本企业的持股比例</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母公司对本企业的表决权比例</w:t>
            </w:r>
          </w:p>
        </w:tc>
      </w:tr>
      <w:tr w:rsidR="00953733" w:rsidTr="00953733">
        <w:trPr>
          <w:trHeight w:val="240"/>
        </w:trPr>
        <w:tc>
          <w:tcPr>
            <w:tcW w:w="1607" w:type="dxa"/>
            <w:tcBorders>
              <w:top w:val="single" w:sz="2" w:space="0" w:color="auto"/>
              <w:left w:val="single" w:sz="2" w:space="0" w:color="auto"/>
              <w:bottom w:val="single" w:sz="2" w:space="0" w:color="auto"/>
              <w:right w:val="single" w:sz="2" w:space="0" w:color="auto"/>
            </w:tcBorders>
            <w:vAlign w:val="center"/>
            <w:hideMark/>
          </w:tcPr>
          <w:p w:rsidR="00953733" w:rsidRDefault="00953733" w:rsidP="00953733">
            <w:pPr>
              <w:spacing w:line="240" w:lineRule="exact"/>
              <w:rPr>
                <w:rFonts w:ascii="宋体" w:eastAsia="宋体" w:hAnsi="宋体" w:cs="宋体"/>
                <w:sz w:val="18"/>
                <w:szCs w:val="18"/>
              </w:rPr>
            </w:pPr>
            <w:r>
              <w:rPr>
                <w:rFonts w:ascii="宋体" w:eastAsia="宋体" w:hAnsi="宋体" w:cs="宋体" w:hint="eastAsia"/>
                <w:sz w:val="18"/>
                <w:szCs w:val="18"/>
              </w:rPr>
              <w:t>德力西集团有限公司</w:t>
            </w:r>
          </w:p>
        </w:tc>
        <w:tc>
          <w:tcPr>
            <w:tcW w:w="1607" w:type="dxa"/>
            <w:tcBorders>
              <w:top w:val="single" w:sz="2" w:space="0" w:color="auto"/>
              <w:left w:val="single" w:sz="2" w:space="0" w:color="auto"/>
              <w:bottom w:val="single" w:sz="2" w:space="0" w:color="auto"/>
              <w:right w:val="single" w:sz="2" w:space="0" w:color="auto"/>
            </w:tcBorders>
            <w:vAlign w:val="center"/>
            <w:hideMark/>
          </w:tcPr>
          <w:p w:rsidR="00953733" w:rsidRDefault="00953733" w:rsidP="00953733">
            <w:pPr>
              <w:spacing w:line="240" w:lineRule="exact"/>
              <w:rPr>
                <w:rFonts w:ascii="宋体" w:eastAsia="宋体" w:hAnsi="宋体" w:cs="宋体"/>
                <w:sz w:val="18"/>
                <w:szCs w:val="18"/>
              </w:rPr>
            </w:pPr>
            <w:r>
              <w:rPr>
                <w:rFonts w:ascii="宋体" w:eastAsia="宋体" w:hAnsi="宋体" w:cs="宋体" w:hint="eastAsia"/>
                <w:sz w:val="18"/>
                <w:szCs w:val="18"/>
              </w:rPr>
              <w:t>浙江省乐清市</w:t>
            </w:r>
          </w:p>
        </w:tc>
        <w:tc>
          <w:tcPr>
            <w:tcW w:w="1607" w:type="dxa"/>
            <w:tcBorders>
              <w:top w:val="single" w:sz="2" w:space="0" w:color="auto"/>
              <w:left w:val="single" w:sz="2" w:space="0" w:color="auto"/>
              <w:bottom w:val="single" w:sz="2" w:space="0" w:color="auto"/>
              <w:right w:val="single" w:sz="2" w:space="0" w:color="auto"/>
            </w:tcBorders>
            <w:vAlign w:val="center"/>
            <w:hideMark/>
          </w:tcPr>
          <w:p w:rsidR="00953733" w:rsidRDefault="00953733" w:rsidP="00953733">
            <w:pPr>
              <w:spacing w:line="240" w:lineRule="exact"/>
              <w:rPr>
                <w:rFonts w:ascii="宋体" w:eastAsia="宋体" w:hAnsi="宋体" w:cs="宋体"/>
                <w:sz w:val="18"/>
                <w:szCs w:val="18"/>
              </w:rPr>
            </w:pPr>
            <w:r>
              <w:rPr>
                <w:rFonts w:ascii="宋体" w:eastAsia="宋体" w:hAnsi="宋体" w:cs="宋体" w:hint="eastAsia"/>
                <w:sz w:val="18"/>
                <w:szCs w:val="18"/>
              </w:rPr>
              <w:t>工业</w:t>
            </w:r>
          </w:p>
        </w:tc>
        <w:tc>
          <w:tcPr>
            <w:tcW w:w="1608" w:type="dxa"/>
            <w:tcBorders>
              <w:top w:val="single" w:sz="2" w:space="0" w:color="auto"/>
              <w:left w:val="single" w:sz="2" w:space="0" w:color="auto"/>
              <w:bottom w:val="single" w:sz="2" w:space="0" w:color="auto"/>
              <w:right w:val="single" w:sz="2" w:space="0" w:color="auto"/>
            </w:tcBorders>
            <w:vAlign w:val="center"/>
            <w:hideMark/>
          </w:tcPr>
          <w:p w:rsidR="00953733" w:rsidRDefault="00953733" w:rsidP="00953733">
            <w:pPr>
              <w:spacing w:line="240" w:lineRule="exact"/>
              <w:rPr>
                <w:rFonts w:ascii="宋体" w:eastAsia="宋体" w:hAnsi="宋体" w:cs="宋体"/>
                <w:sz w:val="18"/>
                <w:szCs w:val="18"/>
              </w:rPr>
            </w:pPr>
            <w:r>
              <w:rPr>
                <w:rFonts w:ascii="宋体" w:eastAsia="宋体" w:hAnsi="宋体" w:cs="宋体" w:hint="eastAsia"/>
                <w:sz w:val="18"/>
                <w:szCs w:val="18"/>
              </w:rPr>
              <w:t>15亿元</w:t>
            </w:r>
          </w:p>
        </w:tc>
        <w:tc>
          <w:tcPr>
            <w:tcW w:w="1608" w:type="dxa"/>
            <w:tcBorders>
              <w:top w:val="single" w:sz="2" w:space="0" w:color="auto"/>
              <w:left w:val="single" w:sz="2" w:space="0" w:color="auto"/>
              <w:bottom w:val="single" w:sz="2" w:space="0" w:color="auto"/>
              <w:right w:val="single" w:sz="2" w:space="0" w:color="auto"/>
            </w:tcBorders>
            <w:vAlign w:val="center"/>
            <w:hideMark/>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hint="eastAsia"/>
                <w:sz w:val="18"/>
                <w:szCs w:val="18"/>
              </w:rPr>
              <w:t>42.</w:t>
            </w:r>
            <w:r>
              <w:rPr>
                <w:rFonts w:ascii="宋体" w:eastAsia="宋体" w:hAnsi="宋体" w:cs="宋体"/>
                <w:sz w:val="18"/>
                <w:szCs w:val="18"/>
              </w:rPr>
              <w:t>6</w:t>
            </w:r>
            <w:r>
              <w:rPr>
                <w:rFonts w:ascii="宋体" w:eastAsia="宋体" w:hAnsi="宋体" w:cs="宋体" w:hint="eastAsia"/>
                <w:sz w:val="18"/>
                <w:szCs w:val="18"/>
              </w:rPr>
              <w:t>4%</w:t>
            </w:r>
          </w:p>
        </w:tc>
        <w:tc>
          <w:tcPr>
            <w:tcW w:w="1608" w:type="dxa"/>
            <w:tcBorders>
              <w:top w:val="single" w:sz="2" w:space="0" w:color="auto"/>
              <w:left w:val="single" w:sz="2" w:space="0" w:color="auto"/>
              <w:bottom w:val="single" w:sz="2" w:space="0" w:color="auto"/>
              <w:right w:val="single" w:sz="2" w:space="0" w:color="auto"/>
            </w:tcBorders>
            <w:vAlign w:val="center"/>
            <w:hideMark/>
          </w:tcPr>
          <w:p w:rsidR="00953733" w:rsidRDefault="00953733" w:rsidP="00953733">
            <w:pPr>
              <w:spacing w:line="240" w:lineRule="exact"/>
              <w:jc w:val="right"/>
              <w:rPr>
                <w:rFonts w:ascii="宋体" w:eastAsia="宋体" w:hAnsi="宋体" w:cs="宋体"/>
                <w:sz w:val="18"/>
                <w:szCs w:val="18"/>
              </w:rPr>
            </w:pPr>
            <w:r>
              <w:rPr>
                <w:rFonts w:ascii="宋体" w:eastAsia="宋体" w:hAnsi="宋体" w:cs="宋体" w:hint="eastAsia"/>
                <w:sz w:val="18"/>
                <w:szCs w:val="18"/>
              </w:rPr>
              <w:t>42.</w:t>
            </w:r>
            <w:r>
              <w:rPr>
                <w:rFonts w:ascii="宋体" w:eastAsia="宋体" w:hAnsi="宋体" w:cs="宋体"/>
                <w:sz w:val="18"/>
                <w:szCs w:val="18"/>
              </w:rPr>
              <w:t>6</w:t>
            </w:r>
            <w:r>
              <w:rPr>
                <w:rFonts w:ascii="宋体" w:eastAsia="宋体" w:hAnsi="宋体" w:cs="宋体" w:hint="eastAsia"/>
                <w:sz w:val="18"/>
                <w:szCs w:val="18"/>
              </w:rPr>
              <w:t>4%</w:t>
            </w:r>
          </w:p>
        </w:tc>
      </w:tr>
    </w:tbl>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本企业的母公司情况的说明</w:t>
      </w:r>
    </w:p>
    <w:p w:rsidR="00953733" w:rsidRPr="007A7E7C" w:rsidRDefault="00953733" w:rsidP="00953733">
      <w:pPr>
        <w:pStyle w:val="a3"/>
        <w:spacing w:before="0" w:beforeAutospacing="0" w:after="0" w:afterAutospacing="0" w:line="360" w:lineRule="auto"/>
        <w:ind w:firstLineChars="200" w:firstLine="420"/>
        <w:jc w:val="both"/>
        <w:rPr>
          <w:rFonts w:cs="Times New Roman"/>
          <w:color w:val="000000"/>
          <w:sz w:val="21"/>
          <w:szCs w:val="21"/>
        </w:rPr>
      </w:pPr>
      <w:r>
        <w:rPr>
          <w:rFonts w:cs="Times New Roman" w:hint="eastAsia"/>
          <w:color w:val="000000"/>
          <w:sz w:val="21"/>
          <w:szCs w:val="21"/>
        </w:rPr>
        <w:t>本公司的最终控制方是胡成中先生</w:t>
      </w:r>
      <w:r w:rsidRPr="007A7E7C">
        <w:rPr>
          <w:rFonts w:cs="Times New Roman"/>
          <w:color w:val="000000"/>
          <w:sz w:val="21"/>
          <w:szCs w:val="21"/>
        </w:rPr>
        <w:t>,</w:t>
      </w:r>
      <w:r>
        <w:rPr>
          <w:rFonts w:cs="Times New Roman" w:hint="eastAsia"/>
          <w:color w:val="000000"/>
          <w:sz w:val="21"/>
          <w:szCs w:val="21"/>
        </w:rPr>
        <w:t>持有德力西集团有限公司</w:t>
      </w:r>
      <w:r w:rsidR="00C85DA6">
        <w:rPr>
          <w:rFonts w:cs="Times New Roman"/>
          <w:color w:val="000000"/>
          <w:sz w:val="21"/>
          <w:szCs w:val="21"/>
        </w:rPr>
        <w:t>5</w:t>
      </w:r>
      <w:r w:rsidRPr="007A7E7C">
        <w:rPr>
          <w:rFonts w:cs="Times New Roman"/>
          <w:color w:val="000000"/>
          <w:sz w:val="21"/>
          <w:szCs w:val="21"/>
        </w:rPr>
        <w:t>4.10%</w:t>
      </w:r>
      <w:r>
        <w:rPr>
          <w:rFonts w:cs="Times New Roman" w:hint="eastAsia"/>
          <w:color w:val="000000"/>
          <w:sz w:val="21"/>
          <w:szCs w:val="21"/>
        </w:rPr>
        <w:t>的股份，通过德力西集团有限公司间接控制公司</w:t>
      </w:r>
      <w:r w:rsidRPr="007A7E7C">
        <w:rPr>
          <w:rFonts w:cs="Times New Roman"/>
          <w:color w:val="000000"/>
          <w:sz w:val="21"/>
          <w:szCs w:val="21"/>
        </w:rPr>
        <w:t>42.</w:t>
      </w:r>
      <w:r>
        <w:rPr>
          <w:rFonts w:cs="Times New Roman"/>
          <w:color w:val="000000"/>
          <w:sz w:val="21"/>
          <w:szCs w:val="21"/>
        </w:rPr>
        <w:t>6</w:t>
      </w:r>
      <w:r w:rsidRPr="007A7E7C">
        <w:rPr>
          <w:rFonts w:cs="Times New Roman"/>
          <w:color w:val="000000"/>
          <w:sz w:val="21"/>
          <w:szCs w:val="21"/>
        </w:rPr>
        <w:t>4%</w:t>
      </w:r>
      <w:r>
        <w:rPr>
          <w:rFonts w:cs="Times New Roman" w:hint="eastAsia"/>
          <w:color w:val="000000"/>
          <w:sz w:val="21"/>
          <w:szCs w:val="21"/>
        </w:rPr>
        <w:t>的股权，直接持有公司</w:t>
      </w:r>
      <w:r w:rsidRPr="007A7E7C">
        <w:rPr>
          <w:rFonts w:cs="Times New Roman"/>
          <w:color w:val="000000"/>
          <w:sz w:val="21"/>
          <w:szCs w:val="21"/>
        </w:rPr>
        <w:t>1.4</w:t>
      </w:r>
      <w:r>
        <w:rPr>
          <w:rFonts w:cs="Times New Roman"/>
          <w:color w:val="000000"/>
          <w:sz w:val="21"/>
          <w:szCs w:val="21"/>
        </w:rPr>
        <w:t>6</w:t>
      </w:r>
      <w:r w:rsidRPr="007A7E7C">
        <w:rPr>
          <w:rFonts w:cs="Times New Roman"/>
          <w:color w:val="000000"/>
          <w:sz w:val="21"/>
          <w:szCs w:val="21"/>
        </w:rPr>
        <w:t>%</w:t>
      </w:r>
      <w:r>
        <w:rPr>
          <w:rFonts w:cs="Times New Roman" w:hint="eastAsia"/>
          <w:color w:val="000000"/>
          <w:sz w:val="21"/>
          <w:szCs w:val="21"/>
        </w:rPr>
        <w:t>的股权，为公司的实际控制人。</w:t>
      </w:r>
    </w:p>
    <w:p w:rsidR="00745844" w:rsidRPr="007A7E7C" w:rsidRDefault="00745844" w:rsidP="007A7E7C">
      <w:pPr>
        <w:pStyle w:val="a3"/>
        <w:spacing w:before="0" w:beforeAutospacing="0" w:after="0" w:afterAutospacing="0" w:line="360" w:lineRule="auto"/>
        <w:ind w:firstLineChars="200" w:firstLine="420"/>
        <w:jc w:val="both"/>
        <w:rPr>
          <w:rFonts w:cs="Times New Roman"/>
          <w:color w:val="000000"/>
          <w:sz w:val="21"/>
          <w:szCs w:val="21"/>
        </w:rPr>
      </w:pPr>
      <w:r w:rsidRPr="007A7E7C">
        <w:rPr>
          <w:rFonts w:cs="Times New Roman" w:hint="eastAsia"/>
          <w:color w:val="000000"/>
          <w:sz w:val="21"/>
          <w:szCs w:val="21"/>
        </w:rPr>
        <w:t>本企业最终控制方是胡成中。</w:t>
      </w:r>
    </w:p>
    <w:p w:rsidR="00745844" w:rsidRDefault="00745844" w:rsidP="00745844">
      <w:pPr>
        <w:pStyle w:val="3"/>
        <w:spacing w:line="280" w:lineRule="exact"/>
        <w:jc w:val="left"/>
        <w:rPr>
          <w:rFonts w:ascii="宋体" w:hAnsi="宋体" w:cs="宋体"/>
          <w:b/>
          <w:bCs/>
        </w:rPr>
      </w:pPr>
      <w:bookmarkStart w:id="391" w:name="_Toc989274"/>
      <w:r>
        <w:rPr>
          <w:rFonts w:ascii="宋体" w:hAnsi="宋体" w:cs="宋体" w:hint="eastAsia"/>
          <w:b/>
          <w:bCs/>
        </w:rPr>
        <w:t>2、本企业的子公司情况</w:t>
      </w:r>
      <w:bookmarkEnd w:id="391"/>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本企业子公司的情况详见附注十、1、在子公司中的权益。</w:t>
      </w:r>
    </w:p>
    <w:p w:rsidR="00745844" w:rsidRDefault="00745844" w:rsidP="00745844">
      <w:pPr>
        <w:pStyle w:val="3"/>
        <w:spacing w:line="280" w:lineRule="exact"/>
        <w:jc w:val="left"/>
        <w:rPr>
          <w:rFonts w:ascii="宋体" w:hAnsi="宋体" w:cs="宋体"/>
          <w:b/>
          <w:bCs/>
        </w:rPr>
      </w:pPr>
      <w:bookmarkStart w:id="392" w:name="_Toc989275"/>
      <w:r>
        <w:rPr>
          <w:rFonts w:ascii="宋体" w:hAnsi="宋体" w:cs="宋体" w:hint="eastAsia"/>
          <w:b/>
          <w:bCs/>
        </w:rPr>
        <w:t>3、本企业合营和联营企业情况</w:t>
      </w:r>
      <w:bookmarkEnd w:id="392"/>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本企业重要的合营或联营企业详见附注十、3、在合营安排或联营企业中的权益。</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本期与本公司发生关联方交易，或前期与本公司发生关联方交易形成余额的其他合营或联营企业情况如下：</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822"/>
        <w:gridCol w:w="4823"/>
      </w:tblGrid>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合营或联营企业名称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与本企业关系</w:t>
            </w: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苏州锴威特半导体股份有限公司</w:t>
            </w:r>
          </w:p>
        </w:tc>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联营企业</w:t>
            </w:r>
          </w:p>
        </w:tc>
      </w:tr>
    </w:tbl>
    <w:p w:rsidR="00745844" w:rsidRDefault="00745844" w:rsidP="00745844">
      <w:pPr>
        <w:pStyle w:val="3"/>
        <w:spacing w:line="280" w:lineRule="exact"/>
        <w:jc w:val="left"/>
        <w:rPr>
          <w:rFonts w:ascii="宋体" w:hAnsi="宋体" w:cs="宋体"/>
          <w:b/>
          <w:bCs/>
        </w:rPr>
      </w:pPr>
      <w:bookmarkStart w:id="393" w:name="_Toc989276"/>
      <w:r>
        <w:rPr>
          <w:rFonts w:ascii="宋体" w:hAnsi="宋体" w:cs="宋体" w:hint="eastAsia"/>
          <w:b/>
          <w:bCs/>
        </w:rPr>
        <w:t>4、其他关联方情况</w:t>
      </w:r>
      <w:bookmarkEnd w:id="393"/>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822"/>
        <w:gridCol w:w="4823"/>
      </w:tblGrid>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其他关联方与本企业关系</w:t>
            </w: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中国德力西控股集团有限公司</w:t>
            </w:r>
          </w:p>
        </w:tc>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本公司控股股东控制的公司</w:t>
            </w: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四川升华巨能科技有限公司</w:t>
            </w:r>
          </w:p>
        </w:tc>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D2096A">
            <w:pPr>
              <w:spacing w:line="240" w:lineRule="exact"/>
              <w:rPr>
                <w:rFonts w:ascii="宋体" w:eastAsia="宋体" w:hAnsi="宋体" w:cs="宋体"/>
                <w:sz w:val="18"/>
                <w:szCs w:val="18"/>
              </w:rPr>
            </w:pPr>
            <w:r w:rsidRPr="00D2096A">
              <w:rPr>
                <w:rFonts w:ascii="宋体" w:eastAsia="宋体" w:hAnsi="宋体" w:cs="宋体" w:hint="eastAsia"/>
                <w:sz w:val="18"/>
                <w:szCs w:val="18"/>
              </w:rPr>
              <w:t>本公司前董事控股公司</w:t>
            </w: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郝宏伟</w:t>
            </w:r>
          </w:p>
        </w:tc>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D2096A">
            <w:pPr>
              <w:spacing w:line="240" w:lineRule="exact"/>
              <w:rPr>
                <w:rFonts w:ascii="宋体" w:eastAsia="宋体" w:hAnsi="宋体" w:cs="宋体"/>
                <w:sz w:val="18"/>
                <w:szCs w:val="18"/>
              </w:rPr>
            </w:pPr>
            <w:r w:rsidRPr="00D2096A">
              <w:rPr>
                <w:rFonts w:ascii="宋体" w:eastAsia="宋体" w:hAnsi="宋体" w:cs="宋体" w:hint="eastAsia"/>
                <w:sz w:val="18"/>
                <w:szCs w:val="18"/>
              </w:rPr>
              <w:t>本公司前高管</w:t>
            </w:r>
          </w:p>
        </w:tc>
      </w:tr>
      <w:tr w:rsidR="00745844" w:rsidTr="00745844">
        <w:trPr>
          <w:trHeight w:val="240"/>
        </w:trPr>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三明超越科技有限公司</w:t>
            </w:r>
          </w:p>
        </w:tc>
        <w:tc>
          <w:tcPr>
            <w:tcW w:w="4820" w:type="dxa"/>
            <w:tcBorders>
              <w:top w:val="single" w:sz="2" w:space="0" w:color="auto"/>
              <w:left w:val="single" w:sz="2" w:space="0" w:color="auto"/>
              <w:bottom w:val="single" w:sz="2" w:space="0" w:color="auto"/>
              <w:right w:val="single" w:sz="2" w:space="0" w:color="auto"/>
            </w:tcBorders>
            <w:vAlign w:val="center"/>
            <w:hideMark/>
          </w:tcPr>
          <w:p w:rsidR="00745844" w:rsidRDefault="00D2096A">
            <w:pPr>
              <w:spacing w:line="240" w:lineRule="exact"/>
              <w:rPr>
                <w:rFonts w:ascii="宋体" w:eastAsia="宋体" w:hAnsi="宋体" w:cs="宋体"/>
                <w:sz w:val="18"/>
                <w:szCs w:val="18"/>
              </w:rPr>
            </w:pPr>
            <w:r w:rsidRPr="00D2096A">
              <w:rPr>
                <w:rFonts w:ascii="宋体" w:eastAsia="宋体" w:hAnsi="宋体" w:cs="宋体" w:hint="eastAsia"/>
                <w:sz w:val="18"/>
                <w:szCs w:val="18"/>
              </w:rPr>
              <w:t>本公司前高管控股公司</w:t>
            </w:r>
          </w:p>
        </w:tc>
      </w:tr>
    </w:tbl>
    <w:p w:rsidR="00745844" w:rsidRDefault="00745844" w:rsidP="00745844">
      <w:pPr>
        <w:pStyle w:val="3"/>
        <w:spacing w:line="280" w:lineRule="exact"/>
        <w:jc w:val="left"/>
        <w:rPr>
          <w:rFonts w:ascii="宋体" w:hAnsi="宋体" w:cs="宋体"/>
          <w:b/>
          <w:bCs/>
        </w:rPr>
      </w:pPr>
      <w:bookmarkStart w:id="394" w:name="_Toc989277"/>
      <w:r>
        <w:rPr>
          <w:rFonts w:ascii="宋体" w:hAnsi="宋体" w:cs="宋体" w:hint="eastAsia"/>
          <w:b/>
          <w:bCs/>
        </w:rPr>
        <w:t>5、关联交易情况</w:t>
      </w:r>
      <w:bookmarkEnd w:id="394"/>
    </w:p>
    <w:p w:rsidR="00745844" w:rsidRDefault="00745844" w:rsidP="00745844">
      <w:pPr>
        <w:keepNext/>
        <w:keepLines/>
        <w:spacing w:before="300" w:after="300" w:line="280" w:lineRule="exact"/>
        <w:outlineLvl w:val="3"/>
        <w:rPr>
          <w:rFonts w:ascii="宋体" w:eastAsia="宋体" w:hAnsi="宋体" w:cs="宋体"/>
          <w:b/>
          <w:bCs/>
          <w:szCs w:val="21"/>
        </w:rPr>
      </w:pPr>
      <w:bookmarkStart w:id="395" w:name="_Toc989278"/>
      <w:r>
        <w:rPr>
          <w:rFonts w:ascii="宋体" w:eastAsia="宋体" w:hAnsi="宋体" w:cs="宋体" w:hint="eastAsia"/>
          <w:b/>
          <w:bCs/>
          <w:szCs w:val="21"/>
        </w:rPr>
        <w:t>（1） 购销商品、提供和接受劳务的关联交易</w:t>
      </w:r>
      <w:bookmarkEnd w:id="395"/>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采购商品/接受劳务情况表</w:t>
      </w:r>
    </w:p>
    <w:p w:rsidR="00745844" w:rsidRDefault="00745844" w:rsidP="00745844">
      <w:pPr>
        <w:spacing w:before="120" w:after="12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07"/>
        <w:gridCol w:w="1607"/>
        <w:gridCol w:w="1607"/>
        <w:gridCol w:w="1608"/>
        <w:gridCol w:w="1608"/>
        <w:gridCol w:w="1608"/>
      </w:tblGrid>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lastRenderedPageBreak/>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获批的交易额度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是否超过交易额度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上期发生额</w:t>
            </w: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苏州锴威特半导体股份有限公司</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委托技术开发</w:t>
            </w: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490,000.00</w:t>
            </w: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苏州锴威特半导体股份有限公司</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材料采购</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1,817,587.65</w:t>
            </w: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3,400,896.58</w:t>
            </w:r>
          </w:p>
        </w:tc>
      </w:tr>
    </w:tbl>
    <w:p w:rsidR="00745844" w:rsidRDefault="00745844" w:rsidP="00745844">
      <w:pPr>
        <w:keepNext/>
        <w:keepLines/>
        <w:spacing w:before="300" w:after="300" w:line="280" w:lineRule="exact"/>
        <w:outlineLvl w:val="3"/>
        <w:rPr>
          <w:rFonts w:ascii="宋体" w:eastAsia="宋体" w:hAnsi="宋体" w:cs="宋体"/>
          <w:b/>
          <w:bCs/>
          <w:szCs w:val="21"/>
        </w:rPr>
      </w:pPr>
      <w:bookmarkStart w:id="396" w:name="_Toc989279"/>
      <w:r>
        <w:rPr>
          <w:rFonts w:ascii="宋体" w:eastAsia="宋体" w:hAnsi="宋体" w:cs="宋体" w:hint="eastAsia"/>
          <w:b/>
          <w:bCs/>
          <w:szCs w:val="21"/>
        </w:rPr>
        <w:t>（2） 关联租赁情况</w:t>
      </w:r>
      <w:bookmarkEnd w:id="396"/>
    </w:p>
    <w:p w:rsidR="00745844" w:rsidRDefault="00745844" w:rsidP="00745844">
      <w:pPr>
        <w:spacing w:before="40" w:after="40" w:line="240" w:lineRule="exact"/>
        <w:rPr>
          <w:rFonts w:ascii="宋体" w:eastAsia="宋体" w:hAnsi="宋体" w:cs="宋体"/>
          <w:sz w:val="18"/>
          <w:szCs w:val="18"/>
        </w:rPr>
      </w:pPr>
      <w:r>
        <w:rPr>
          <w:rFonts w:ascii="宋体" w:eastAsia="宋体" w:hAnsi="宋体" w:cs="宋体" w:hint="eastAsia"/>
          <w:sz w:val="18"/>
          <w:szCs w:val="18"/>
        </w:rPr>
        <w:t>本公司作为承租方：</w:t>
      </w:r>
    </w:p>
    <w:p w:rsidR="00745844" w:rsidRDefault="00745844" w:rsidP="00745844">
      <w:pPr>
        <w:spacing w:before="120" w:after="12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03"/>
        <w:gridCol w:w="803"/>
        <w:gridCol w:w="803"/>
        <w:gridCol w:w="804"/>
        <w:gridCol w:w="804"/>
        <w:gridCol w:w="804"/>
        <w:gridCol w:w="804"/>
        <w:gridCol w:w="804"/>
        <w:gridCol w:w="804"/>
        <w:gridCol w:w="804"/>
        <w:gridCol w:w="804"/>
        <w:gridCol w:w="804"/>
      </w:tblGrid>
      <w:tr w:rsidR="00745844" w:rsidTr="006D048C">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租赁资产种类</w:t>
            </w:r>
          </w:p>
        </w:tc>
        <w:tc>
          <w:tcPr>
            <w:tcW w:w="1607"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简化处理的短期租赁和低价值资产租赁的租金费用（如适用）</w:t>
            </w:r>
          </w:p>
        </w:tc>
        <w:tc>
          <w:tcPr>
            <w:tcW w:w="1608"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未纳入租赁负债计量的可变租赁付款额（如适用）</w:t>
            </w:r>
          </w:p>
        </w:tc>
        <w:tc>
          <w:tcPr>
            <w:tcW w:w="1608"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支付的租金</w:t>
            </w:r>
          </w:p>
        </w:tc>
        <w:tc>
          <w:tcPr>
            <w:tcW w:w="1608"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承担的租赁负债利息支出</w:t>
            </w:r>
          </w:p>
        </w:tc>
        <w:tc>
          <w:tcPr>
            <w:tcW w:w="1608"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增加的使用权资产</w:t>
            </w:r>
          </w:p>
        </w:tc>
      </w:tr>
      <w:tr w:rsidR="00745844" w:rsidTr="006D048C">
        <w:trPr>
          <w:trHeight w:val="240"/>
        </w:trPr>
        <w:tc>
          <w:tcPr>
            <w:tcW w:w="803"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803"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本期发生额</w:t>
            </w:r>
          </w:p>
        </w:tc>
        <w:tc>
          <w:tcPr>
            <w:tcW w:w="80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上期发生额</w:t>
            </w:r>
          </w:p>
        </w:tc>
        <w:tc>
          <w:tcPr>
            <w:tcW w:w="80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本期发生额</w:t>
            </w:r>
          </w:p>
        </w:tc>
        <w:tc>
          <w:tcPr>
            <w:tcW w:w="80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上期发生额</w:t>
            </w:r>
          </w:p>
        </w:tc>
        <w:tc>
          <w:tcPr>
            <w:tcW w:w="80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本期发生额</w:t>
            </w:r>
          </w:p>
        </w:tc>
        <w:tc>
          <w:tcPr>
            <w:tcW w:w="80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上期发生额</w:t>
            </w:r>
          </w:p>
        </w:tc>
        <w:tc>
          <w:tcPr>
            <w:tcW w:w="80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本期发生额</w:t>
            </w:r>
          </w:p>
        </w:tc>
        <w:tc>
          <w:tcPr>
            <w:tcW w:w="80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上期发生额</w:t>
            </w:r>
          </w:p>
        </w:tc>
        <w:tc>
          <w:tcPr>
            <w:tcW w:w="80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本期发生额</w:t>
            </w:r>
          </w:p>
        </w:tc>
        <w:tc>
          <w:tcPr>
            <w:tcW w:w="80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上期发生额</w:t>
            </w:r>
          </w:p>
        </w:tc>
      </w:tr>
      <w:tr w:rsidR="00745844" w:rsidTr="006D048C">
        <w:trPr>
          <w:trHeight w:val="240"/>
        </w:trPr>
        <w:tc>
          <w:tcPr>
            <w:tcW w:w="80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四川升华巨能科技有限公司</w:t>
            </w:r>
          </w:p>
        </w:tc>
        <w:tc>
          <w:tcPr>
            <w:tcW w:w="80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房屋</w:t>
            </w:r>
          </w:p>
        </w:tc>
        <w:tc>
          <w:tcPr>
            <w:tcW w:w="80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4,992,000.00</w:t>
            </w: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4,800,000.00</w:t>
            </w: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2,461,471.63</w:t>
            </w: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2,854,199.05</w:t>
            </w:r>
          </w:p>
        </w:tc>
        <w:tc>
          <w:tcPr>
            <w:tcW w:w="804"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2,410,469.62</w:t>
            </w:r>
          </w:p>
        </w:tc>
      </w:tr>
      <w:tr w:rsidR="00745844" w:rsidTr="006D048C">
        <w:trPr>
          <w:trHeight w:val="240"/>
        </w:trPr>
        <w:tc>
          <w:tcPr>
            <w:tcW w:w="80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中国德力西控股集团有限公司</w:t>
            </w:r>
          </w:p>
        </w:tc>
        <w:tc>
          <w:tcPr>
            <w:tcW w:w="80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房屋</w:t>
            </w:r>
          </w:p>
        </w:tc>
        <w:tc>
          <w:tcPr>
            <w:tcW w:w="80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205,224.47</w:t>
            </w: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79,809.52</w:t>
            </w:r>
          </w:p>
        </w:tc>
        <w:tc>
          <w:tcPr>
            <w:tcW w:w="804"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370,542.37</w:t>
            </w: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219,522.65</w:t>
            </w: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16,407.80</w:t>
            </w: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10,866.55</w:t>
            </w:r>
          </w:p>
        </w:tc>
        <w:tc>
          <w:tcPr>
            <w:tcW w:w="804"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6D048C">
        <w:trPr>
          <w:trHeight w:val="240"/>
        </w:trPr>
        <w:tc>
          <w:tcPr>
            <w:tcW w:w="80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中国德力西控股集团有限公司</w:t>
            </w:r>
          </w:p>
        </w:tc>
        <w:tc>
          <w:tcPr>
            <w:tcW w:w="80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车辆</w:t>
            </w:r>
          </w:p>
        </w:tc>
        <w:tc>
          <w:tcPr>
            <w:tcW w:w="80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88,495.58</w:t>
            </w: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2,363.47</w:t>
            </w: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1,649.45</w:t>
            </w:r>
          </w:p>
        </w:tc>
        <w:tc>
          <w:tcPr>
            <w:tcW w:w="804"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04"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172,978.22</w:t>
            </w:r>
          </w:p>
        </w:tc>
      </w:tr>
    </w:tbl>
    <w:p w:rsidR="00745844" w:rsidRDefault="00745844" w:rsidP="00745844">
      <w:pPr>
        <w:keepNext/>
        <w:keepLines/>
        <w:spacing w:before="300" w:after="300" w:line="280" w:lineRule="exact"/>
        <w:outlineLvl w:val="3"/>
        <w:rPr>
          <w:rFonts w:ascii="宋体" w:eastAsia="宋体" w:hAnsi="宋体" w:cs="宋体"/>
          <w:b/>
          <w:bCs/>
          <w:szCs w:val="21"/>
        </w:rPr>
      </w:pPr>
      <w:bookmarkStart w:id="397" w:name="_Toc989280"/>
      <w:r>
        <w:rPr>
          <w:rFonts w:ascii="宋体" w:eastAsia="宋体" w:hAnsi="宋体" w:cs="宋体" w:hint="eastAsia"/>
          <w:b/>
          <w:bCs/>
          <w:szCs w:val="21"/>
        </w:rPr>
        <w:t>（3） 关键管理人员报酬</w:t>
      </w:r>
      <w:bookmarkEnd w:id="397"/>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5"/>
        <w:gridCol w:w="3215"/>
        <w:gridCol w:w="3215"/>
      </w:tblGrid>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上期发生额</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9B1ED8">
            <w:pPr>
              <w:spacing w:line="240" w:lineRule="exact"/>
              <w:jc w:val="right"/>
              <w:rPr>
                <w:rFonts w:ascii="宋体" w:eastAsia="宋体" w:hAnsi="宋体" w:cs="宋体"/>
                <w:sz w:val="18"/>
                <w:szCs w:val="18"/>
              </w:rPr>
            </w:pPr>
            <w:r w:rsidRPr="009B1ED8">
              <w:rPr>
                <w:rFonts w:ascii="宋体" w:eastAsia="宋体" w:hAnsi="宋体" w:cs="宋体" w:hint="eastAsia"/>
                <w:sz w:val="18"/>
                <w:szCs w:val="18"/>
              </w:rPr>
              <w:t>4,722,300.00</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4,410,600.00</w:t>
            </w:r>
          </w:p>
        </w:tc>
      </w:tr>
    </w:tbl>
    <w:p w:rsidR="00745844" w:rsidRDefault="00745844" w:rsidP="00745844">
      <w:pPr>
        <w:keepNext/>
        <w:keepLines/>
        <w:spacing w:before="300" w:after="300" w:line="280" w:lineRule="exact"/>
        <w:outlineLvl w:val="3"/>
        <w:rPr>
          <w:rFonts w:ascii="宋体" w:eastAsia="宋体" w:hAnsi="宋体" w:cs="宋体"/>
          <w:b/>
          <w:bCs/>
          <w:szCs w:val="21"/>
        </w:rPr>
      </w:pPr>
      <w:bookmarkStart w:id="398" w:name="_Toc989281"/>
      <w:r>
        <w:rPr>
          <w:rFonts w:ascii="宋体" w:eastAsia="宋体" w:hAnsi="宋体" w:cs="宋体" w:hint="eastAsia"/>
          <w:b/>
          <w:bCs/>
          <w:szCs w:val="21"/>
        </w:rPr>
        <w:t>（4） 其他关联交易</w:t>
      </w:r>
      <w:bookmarkEnd w:id="398"/>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89"/>
        <w:gridCol w:w="2222"/>
        <w:gridCol w:w="2404"/>
        <w:gridCol w:w="2402"/>
      </w:tblGrid>
      <w:tr w:rsidR="00745844" w:rsidRPr="007A7E7C" w:rsidTr="007A7E7C">
        <w:trPr>
          <w:cantSplit/>
          <w:trHeight w:val="397"/>
          <w:tblHeader/>
        </w:trPr>
        <w:tc>
          <w:tcPr>
            <w:tcW w:w="1346" w:type="pct"/>
            <w:tcMar>
              <w:top w:w="0" w:type="dxa"/>
              <w:left w:w="108" w:type="dxa"/>
              <w:bottom w:w="0" w:type="dxa"/>
              <w:right w:w="108" w:type="dxa"/>
            </w:tcMar>
            <w:vAlign w:val="center"/>
            <w:hideMark/>
          </w:tcPr>
          <w:p w:rsidR="00745844" w:rsidRPr="007A7E7C" w:rsidRDefault="00745844">
            <w:pPr>
              <w:pStyle w:val="a3"/>
              <w:spacing w:before="0" w:beforeAutospacing="0" w:after="0" w:afterAutospacing="0"/>
              <w:ind w:left="360"/>
              <w:jc w:val="center"/>
              <w:rPr>
                <w:rFonts w:cs="Times New Roman"/>
                <w:kern w:val="2"/>
                <w:sz w:val="18"/>
                <w:szCs w:val="18"/>
              </w:rPr>
            </w:pPr>
            <w:r w:rsidRPr="007A7E7C">
              <w:rPr>
                <w:rFonts w:cs="Times New Roman" w:hint="eastAsia"/>
                <w:snapToGrid w:val="0"/>
                <w:color w:val="000000"/>
                <w:kern w:val="2"/>
                <w:sz w:val="18"/>
                <w:szCs w:val="18"/>
              </w:rPr>
              <w:t>关联方</w:t>
            </w:r>
          </w:p>
        </w:tc>
        <w:tc>
          <w:tcPr>
            <w:tcW w:w="1155" w:type="pct"/>
            <w:tcMar>
              <w:top w:w="0" w:type="dxa"/>
              <w:left w:w="108" w:type="dxa"/>
              <w:bottom w:w="0" w:type="dxa"/>
              <w:right w:w="108" w:type="dxa"/>
            </w:tcMar>
            <w:vAlign w:val="center"/>
            <w:hideMark/>
          </w:tcPr>
          <w:p w:rsidR="00745844" w:rsidRPr="007A7E7C" w:rsidRDefault="00745844">
            <w:pPr>
              <w:pStyle w:val="a3"/>
              <w:spacing w:before="0" w:beforeAutospacing="0" w:after="0" w:afterAutospacing="0"/>
              <w:jc w:val="center"/>
              <w:rPr>
                <w:rFonts w:cs="Times New Roman"/>
                <w:kern w:val="2"/>
                <w:sz w:val="18"/>
                <w:szCs w:val="18"/>
              </w:rPr>
            </w:pPr>
            <w:r w:rsidRPr="007A7E7C">
              <w:rPr>
                <w:rFonts w:cs="Times New Roman" w:hint="eastAsia"/>
                <w:snapToGrid w:val="0"/>
                <w:color w:val="000000"/>
                <w:kern w:val="2"/>
                <w:sz w:val="18"/>
                <w:szCs w:val="18"/>
              </w:rPr>
              <w:t>关联交易内容</w:t>
            </w:r>
          </w:p>
        </w:tc>
        <w:tc>
          <w:tcPr>
            <w:tcW w:w="1250" w:type="pct"/>
            <w:tcMar>
              <w:top w:w="0" w:type="dxa"/>
              <w:left w:w="108" w:type="dxa"/>
              <w:bottom w:w="0" w:type="dxa"/>
              <w:right w:w="108" w:type="dxa"/>
            </w:tcMar>
            <w:vAlign w:val="center"/>
            <w:hideMark/>
          </w:tcPr>
          <w:p w:rsidR="00745844" w:rsidRPr="007A7E7C" w:rsidRDefault="00745844">
            <w:pPr>
              <w:pStyle w:val="a3"/>
              <w:spacing w:before="0" w:beforeAutospacing="0" w:after="0" w:afterAutospacing="0"/>
              <w:jc w:val="center"/>
              <w:rPr>
                <w:rFonts w:cs="Times New Roman"/>
                <w:kern w:val="2"/>
                <w:sz w:val="18"/>
                <w:szCs w:val="18"/>
              </w:rPr>
            </w:pPr>
            <w:r w:rsidRPr="007A7E7C">
              <w:rPr>
                <w:rFonts w:cs="Times New Roman" w:hint="eastAsia"/>
                <w:snapToGrid w:val="0"/>
                <w:color w:val="000000"/>
                <w:kern w:val="2"/>
                <w:sz w:val="18"/>
                <w:szCs w:val="18"/>
              </w:rPr>
              <w:t>本期发生额</w:t>
            </w:r>
          </w:p>
        </w:tc>
        <w:tc>
          <w:tcPr>
            <w:tcW w:w="1250" w:type="pct"/>
            <w:tcMar>
              <w:top w:w="0" w:type="dxa"/>
              <w:left w:w="108" w:type="dxa"/>
              <w:bottom w:w="0" w:type="dxa"/>
              <w:right w:w="108" w:type="dxa"/>
            </w:tcMar>
            <w:vAlign w:val="center"/>
            <w:hideMark/>
          </w:tcPr>
          <w:p w:rsidR="00745844" w:rsidRPr="007A7E7C" w:rsidRDefault="00745844">
            <w:pPr>
              <w:pStyle w:val="a3"/>
              <w:spacing w:before="0" w:beforeAutospacing="0" w:after="0" w:afterAutospacing="0"/>
              <w:jc w:val="center"/>
              <w:rPr>
                <w:rFonts w:cs="Times New Roman"/>
                <w:kern w:val="2"/>
                <w:sz w:val="18"/>
                <w:szCs w:val="18"/>
              </w:rPr>
            </w:pPr>
            <w:r w:rsidRPr="007A7E7C">
              <w:rPr>
                <w:rFonts w:cs="Times New Roman" w:hint="eastAsia"/>
                <w:snapToGrid w:val="0"/>
                <w:color w:val="000000"/>
                <w:kern w:val="2"/>
                <w:sz w:val="18"/>
                <w:szCs w:val="18"/>
              </w:rPr>
              <w:t>上期发生额</w:t>
            </w:r>
          </w:p>
        </w:tc>
      </w:tr>
      <w:tr w:rsidR="00745844" w:rsidRPr="007A7E7C" w:rsidTr="007A7E7C">
        <w:trPr>
          <w:cantSplit/>
          <w:trHeight w:val="397"/>
        </w:trPr>
        <w:tc>
          <w:tcPr>
            <w:tcW w:w="1346" w:type="pct"/>
            <w:tcMar>
              <w:top w:w="0" w:type="dxa"/>
              <w:left w:w="108" w:type="dxa"/>
              <w:bottom w:w="0" w:type="dxa"/>
              <w:right w:w="108" w:type="dxa"/>
            </w:tcMar>
            <w:vAlign w:val="center"/>
            <w:hideMark/>
          </w:tcPr>
          <w:p w:rsidR="00745844" w:rsidRPr="007A7E7C" w:rsidRDefault="00745844">
            <w:pPr>
              <w:pStyle w:val="a3"/>
              <w:spacing w:before="0" w:beforeAutospacing="0" w:after="0" w:afterAutospacing="0"/>
              <w:rPr>
                <w:rFonts w:cs="Times New Roman"/>
                <w:kern w:val="2"/>
                <w:sz w:val="18"/>
                <w:szCs w:val="18"/>
              </w:rPr>
            </w:pPr>
            <w:r w:rsidRPr="007A7E7C">
              <w:rPr>
                <w:rFonts w:cs="Times New Roman" w:hint="eastAsia"/>
                <w:snapToGrid w:val="0"/>
                <w:color w:val="000000"/>
                <w:kern w:val="2"/>
                <w:sz w:val="18"/>
                <w:szCs w:val="18"/>
              </w:rPr>
              <w:t>郝宏伟</w:t>
            </w:r>
          </w:p>
        </w:tc>
        <w:tc>
          <w:tcPr>
            <w:tcW w:w="1155" w:type="pct"/>
            <w:tcMar>
              <w:top w:w="0" w:type="dxa"/>
              <w:left w:w="108" w:type="dxa"/>
              <w:bottom w:w="0" w:type="dxa"/>
              <w:right w:w="108" w:type="dxa"/>
            </w:tcMar>
            <w:vAlign w:val="center"/>
            <w:hideMark/>
          </w:tcPr>
          <w:p w:rsidR="00745844" w:rsidRPr="007A7E7C" w:rsidRDefault="00F66A83">
            <w:pPr>
              <w:pStyle w:val="a3"/>
              <w:spacing w:before="0" w:beforeAutospacing="0" w:after="0" w:afterAutospacing="0"/>
              <w:rPr>
                <w:rFonts w:cs="Times New Roman"/>
                <w:kern w:val="2"/>
                <w:sz w:val="18"/>
                <w:szCs w:val="18"/>
              </w:rPr>
            </w:pPr>
            <w:r>
              <w:rPr>
                <w:rFonts w:cs="Times New Roman" w:hint="eastAsia"/>
                <w:kern w:val="2"/>
                <w:sz w:val="18"/>
                <w:szCs w:val="18"/>
              </w:rPr>
              <w:t>承诺补偿款</w:t>
            </w:r>
          </w:p>
        </w:tc>
        <w:tc>
          <w:tcPr>
            <w:tcW w:w="1250" w:type="pct"/>
            <w:tcMar>
              <w:top w:w="0" w:type="dxa"/>
              <w:left w:w="108" w:type="dxa"/>
              <w:bottom w:w="0" w:type="dxa"/>
              <w:right w:w="108" w:type="dxa"/>
            </w:tcMar>
            <w:vAlign w:val="center"/>
            <w:hideMark/>
          </w:tcPr>
          <w:p w:rsidR="00745844" w:rsidRPr="007A7E7C" w:rsidRDefault="004802E3">
            <w:pPr>
              <w:pStyle w:val="a3"/>
              <w:spacing w:before="0" w:beforeAutospacing="0" w:after="0" w:afterAutospacing="0"/>
              <w:jc w:val="right"/>
              <w:rPr>
                <w:rFonts w:cs="Times New Roman"/>
                <w:kern w:val="2"/>
                <w:sz w:val="18"/>
                <w:szCs w:val="18"/>
              </w:rPr>
            </w:pPr>
            <w:r>
              <w:rPr>
                <w:rFonts w:cs="Times New Roman"/>
                <w:snapToGrid w:val="0"/>
                <w:color w:val="000000"/>
                <w:kern w:val="2"/>
                <w:sz w:val="18"/>
                <w:szCs w:val="18"/>
              </w:rPr>
              <w:t>0.00</w:t>
            </w:r>
          </w:p>
        </w:tc>
        <w:tc>
          <w:tcPr>
            <w:tcW w:w="1250" w:type="pct"/>
            <w:tcMar>
              <w:top w:w="0" w:type="dxa"/>
              <w:left w:w="108" w:type="dxa"/>
              <w:bottom w:w="0" w:type="dxa"/>
              <w:right w:w="108" w:type="dxa"/>
            </w:tcMar>
            <w:vAlign w:val="center"/>
            <w:hideMark/>
          </w:tcPr>
          <w:p w:rsidR="00745844" w:rsidRPr="007A7E7C" w:rsidRDefault="00745844">
            <w:pPr>
              <w:pStyle w:val="a3"/>
              <w:spacing w:before="0" w:beforeAutospacing="0" w:after="0" w:afterAutospacing="0"/>
              <w:jc w:val="right"/>
              <w:rPr>
                <w:rFonts w:cs="Times New Roman"/>
                <w:kern w:val="2"/>
                <w:sz w:val="18"/>
                <w:szCs w:val="18"/>
              </w:rPr>
            </w:pPr>
            <w:r w:rsidRPr="007A7E7C">
              <w:rPr>
                <w:rFonts w:cs="Times New Roman"/>
                <w:snapToGrid w:val="0"/>
                <w:color w:val="000000"/>
                <w:kern w:val="2"/>
                <w:sz w:val="18"/>
                <w:szCs w:val="18"/>
              </w:rPr>
              <w:t>17,419,034.84</w:t>
            </w:r>
          </w:p>
        </w:tc>
      </w:tr>
      <w:tr w:rsidR="00745844" w:rsidRPr="007A7E7C" w:rsidTr="007A7E7C">
        <w:trPr>
          <w:cantSplit/>
          <w:trHeight w:val="397"/>
        </w:trPr>
        <w:tc>
          <w:tcPr>
            <w:tcW w:w="1346" w:type="pct"/>
            <w:tcMar>
              <w:top w:w="0" w:type="dxa"/>
              <w:left w:w="108" w:type="dxa"/>
              <w:bottom w:w="0" w:type="dxa"/>
              <w:right w:w="108" w:type="dxa"/>
            </w:tcMar>
            <w:vAlign w:val="center"/>
            <w:hideMark/>
          </w:tcPr>
          <w:p w:rsidR="00745844" w:rsidRPr="007A7E7C" w:rsidRDefault="00745844">
            <w:pPr>
              <w:pStyle w:val="a3"/>
              <w:spacing w:before="0" w:beforeAutospacing="0" w:after="0" w:afterAutospacing="0"/>
              <w:rPr>
                <w:rFonts w:cs="Times New Roman"/>
                <w:kern w:val="2"/>
                <w:sz w:val="18"/>
                <w:szCs w:val="18"/>
              </w:rPr>
            </w:pPr>
            <w:r w:rsidRPr="007A7E7C">
              <w:rPr>
                <w:rFonts w:cs="Times New Roman" w:hint="eastAsia"/>
                <w:snapToGrid w:val="0"/>
                <w:color w:val="000000"/>
                <w:kern w:val="2"/>
                <w:sz w:val="18"/>
                <w:szCs w:val="18"/>
              </w:rPr>
              <w:t>三明超越科技有限公司</w:t>
            </w:r>
          </w:p>
        </w:tc>
        <w:tc>
          <w:tcPr>
            <w:tcW w:w="1155" w:type="pct"/>
            <w:tcMar>
              <w:top w:w="0" w:type="dxa"/>
              <w:left w:w="108" w:type="dxa"/>
              <w:bottom w:w="0" w:type="dxa"/>
              <w:right w:w="108" w:type="dxa"/>
            </w:tcMar>
            <w:vAlign w:val="center"/>
            <w:hideMark/>
          </w:tcPr>
          <w:p w:rsidR="00745844" w:rsidRPr="007A7E7C" w:rsidRDefault="00F66A83">
            <w:pPr>
              <w:pStyle w:val="a3"/>
              <w:spacing w:before="0" w:beforeAutospacing="0" w:after="0" w:afterAutospacing="0"/>
              <w:rPr>
                <w:rFonts w:cs="Times New Roman"/>
                <w:kern w:val="2"/>
                <w:sz w:val="18"/>
                <w:szCs w:val="18"/>
              </w:rPr>
            </w:pPr>
            <w:r>
              <w:rPr>
                <w:rFonts w:cs="Times New Roman" w:hint="eastAsia"/>
                <w:snapToGrid w:val="0"/>
                <w:color w:val="000000"/>
                <w:kern w:val="2"/>
                <w:sz w:val="18"/>
                <w:szCs w:val="18"/>
              </w:rPr>
              <w:t>沈阳超能</w:t>
            </w:r>
            <w:proofErr w:type="gramStart"/>
            <w:r>
              <w:rPr>
                <w:rFonts w:cs="Times New Roman" w:hint="eastAsia"/>
                <w:snapToGrid w:val="0"/>
                <w:color w:val="000000"/>
                <w:kern w:val="2"/>
                <w:sz w:val="18"/>
                <w:szCs w:val="18"/>
              </w:rPr>
              <w:t>并购款</w:t>
            </w:r>
            <w:proofErr w:type="gramEnd"/>
          </w:p>
        </w:tc>
        <w:tc>
          <w:tcPr>
            <w:tcW w:w="1250" w:type="pct"/>
            <w:tcMar>
              <w:top w:w="0" w:type="dxa"/>
              <w:left w:w="108" w:type="dxa"/>
              <w:bottom w:w="0" w:type="dxa"/>
              <w:right w:w="108" w:type="dxa"/>
            </w:tcMar>
            <w:vAlign w:val="center"/>
            <w:hideMark/>
          </w:tcPr>
          <w:p w:rsidR="00745844" w:rsidRPr="007A7E7C" w:rsidRDefault="00F66A83">
            <w:pPr>
              <w:pStyle w:val="a3"/>
              <w:spacing w:before="0" w:beforeAutospacing="0" w:after="0" w:afterAutospacing="0"/>
              <w:jc w:val="right"/>
              <w:rPr>
                <w:rFonts w:cs="Times New Roman"/>
                <w:kern w:val="2"/>
                <w:sz w:val="18"/>
                <w:szCs w:val="18"/>
              </w:rPr>
            </w:pPr>
            <w:r>
              <w:rPr>
                <w:rFonts w:cs="Times New Roman"/>
                <w:snapToGrid w:val="0"/>
                <w:color w:val="000000"/>
                <w:kern w:val="2"/>
                <w:sz w:val="18"/>
                <w:szCs w:val="18"/>
              </w:rPr>
              <w:t>0.00</w:t>
            </w:r>
          </w:p>
        </w:tc>
        <w:tc>
          <w:tcPr>
            <w:tcW w:w="1250" w:type="pct"/>
            <w:tcMar>
              <w:top w:w="0" w:type="dxa"/>
              <w:left w:w="108" w:type="dxa"/>
              <w:bottom w:w="0" w:type="dxa"/>
              <w:right w:w="108" w:type="dxa"/>
            </w:tcMar>
            <w:vAlign w:val="center"/>
            <w:hideMark/>
          </w:tcPr>
          <w:p w:rsidR="00745844" w:rsidRPr="007A7E7C" w:rsidRDefault="00745844">
            <w:pPr>
              <w:pStyle w:val="a3"/>
              <w:spacing w:before="0" w:beforeAutospacing="0" w:after="0" w:afterAutospacing="0"/>
              <w:jc w:val="right"/>
              <w:rPr>
                <w:rFonts w:cs="Times New Roman"/>
                <w:kern w:val="2"/>
                <w:sz w:val="18"/>
                <w:szCs w:val="18"/>
              </w:rPr>
            </w:pPr>
            <w:r w:rsidRPr="007A7E7C">
              <w:rPr>
                <w:rFonts w:cs="Times New Roman"/>
                <w:snapToGrid w:val="0"/>
                <w:color w:val="000000"/>
                <w:kern w:val="2"/>
                <w:sz w:val="18"/>
                <w:szCs w:val="18"/>
              </w:rPr>
              <w:t>99,000.00</w:t>
            </w:r>
          </w:p>
        </w:tc>
      </w:tr>
    </w:tbl>
    <w:p w:rsidR="00745844" w:rsidRDefault="00745844" w:rsidP="00745844">
      <w:pPr>
        <w:pStyle w:val="3"/>
        <w:spacing w:line="280" w:lineRule="exact"/>
        <w:jc w:val="left"/>
        <w:rPr>
          <w:rFonts w:ascii="宋体" w:hAnsi="宋体" w:cs="宋体"/>
          <w:b/>
          <w:bCs/>
        </w:rPr>
      </w:pPr>
      <w:bookmarkStart w:id="399" w:name="_Toc989282"/>
      <w:r>
        <w:rPr>
          <w:rFonts w:ascii="宋体" w:hAnsi="宋体" w:cs="宋体" w:hint="eastAsia"/>
          <w:b/>
          <w:bCs/>
        </w:rPr>
        <w:t>6、关联方应收应付款项</w:t>
      </w:r>
      <w:bookmarkEnd w:id="399"/>
    </w:p>
    <w:p w:rsidR="00745844" w:rsidRDefault="00745844" w:rsidP="00745844">
      <w:pPr>
        <w:keepNext/>
        <w:keepLines/>
        <w:spacing w:before="300" w:after="300" w:line="280" w:lineRule="exact"/>
        <w:outlineLvl w:val="3"/>
        <w:rPr>
          <w:rFonts w:ascii="宋体" w:eastAsia="宋体" w:hAnsi="宋体" w:cs="宋体"/>
          <w:b/>
          <w:bCs/>
          <w:szCs w:val="21"/>
        </w:rPr>
      </w:pPr>
      <w:bookmarkStart w:id="400" w:name="_Toc989283"/>
      <w:r>
        <w:rPr>
          <w:rFonts w:ascii="宋体" w:eastAsia="宋体" w:hAnsi="宋体" w:cs="宋体" w:hint="eastAsia"/>
          <w:b/>
          <w:bCs/>
          <w:szCs w:val="21"/>
        </w:rPr>
        <w:t>（1） 应收项目</w:t>
      </w:r>
      <w:bookmarkEnd w:id="400"/>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08"/>
        <w:gridCol w:w="1607"/>
        <w:gridCol w:w="1607"/>
        <w:gridCol w:w="1608"/>
        <w:gridCol w:w="1607"/>
        <w:gridCol w:w="1608"/>
      </w:tblGrid>
      <w:tr w:rsidR="00745844" w:rsidTr="00745844">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lastRenderedPageBreak/>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期初余额</w:t>
            </w:r>
          </w:p>
        </w:tc>
      </w:tr>
      <w:tr w:rsidR="00745844" w:rsidTr="00745844">
        <w:trPr>
          <w:trHeight w:val="240"/>
        </w:trPr>
        <w:tc>
          <w:tcPr>
            <w:tcW w:w="1606"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606"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w:t>
            </w:r>
          </w:p>
        </w:tc>
      </w:tr>
      <w:tr w:rsidR="00745844" w:rsidTr="00EE48A8">
        <w:trPr>
          <w:trHeight w:val="606"/>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中国德力西控股集团有限公司</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68,214.96</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682.15</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68,214.96</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682.15</w:t>
            </w:r>
          </w:p>
        </w:tc>
      </w:tr>
      <w:tr w:rsidR="00745844" w:rsidTr="00EE48A8">
        <w:trPr>
          <w:trHeight w:val="528"/>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四川升华巨能科技有限公司</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1,260,000.00</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126,000.00</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1,260,000.00</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126,000.00</w:t>
            </w:r>
          </w:p>
        </w:tc>
      </w:tr>
    </w:tbl>
    <w:p w:rsidR="00745844" w:rsidRDefault="00745844" w:rsidP="00745844">
      <w:pPr>
        <w:keepNext/>
        <w:keepLines/>
        <w:spacing w:before="300" w:after="300" w:line="280" w:lineRule="exact"/>
        <w:outlineLvl w:val="3"/>
        <w:rPr>
          <w:rFonts w:ascii="宋体" w:eastAsia="宋体" w:hAnsi="宋体" w:cs="宋体"/>
          <w:b/>
          <w:bCs/>
          <w:szCs w:val="21"/>
        </w:rPr>
      </w:pPr>
      <w:bookmarkStart w:id="401" w:name="_Toc989284"/>
      <w:r>
        <w:rPr>
          <w:rFonts w:ascii="宋体" w:eastAsia="宋体" w:hAnsi="宋体" w:cs="宋体" w:hint="eastAsia"/>
          <w:b/>
          <w:bCs/>
          <w:szCs w:val="21"/>
        </w:rPr>
        <w:t>（2） 应付项目</w:t>
      </w:r>
      <w:bookmarkEnd w:id="401"/>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12"/>
        <w:gridCol w:w="2411"/>
        <w:gridCol w:w="2411"/>
        <w:gridCol w:w="2411"/>
      </w:tblGrid>
      <w:tr w:rsidR="00745844" w:rsidTr="0074584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期初账面余额</w:t>
            </w:r>
          </w:p>
        </w:tc>
      </w:tr>
      <w:tr w:rsidR="00745844" w:rsidTr="00745844">
        <w:trPr>
          <w:trHeight w:val="240"/>
        </w:trPr>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EE48A8">
            <w:pPr>
              <w:spacing w:line="260" w:lineRule="exact"/>
              <w:rPr>
                <w:rFonts w:ascii="宋体" w:eastAsia="宋体" w:hAnsi="宋体" w:cs="宋体"/>
                <w:sz w:val="18"/>
                <w:szCs w:val="18"/>
              </w:rPr>
            </w:pPr>
            <w:r>
              <w:rPr>
                <w:rFonts w:ascii="宋体" w:eastAsia="宋体" w:hAnsi="宋体" w:cs="宋体" w:hint="eastAsia"/>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EE48A8">
            <w:pPr>
              <w:spacing w:line="260" w:lineRule="exact"/>
              <w:rPr>
                <w:rFonts w:ascii="宋体" w:eastAsia="宋体" w:hAnsi="宋体" w:cs="宋体"/>
                <w:sz w:val="18"/>
                <w:szCs w:val="18"/>
              </w:rPr>
            </w:pPr>
            <w:r>
              <w:rPr>
                <w:rFonts w:ascii="宋体" w:eastAsia="宋体" w:hAnsi="宋体" w:cs="宋体" w:hint="eastAsia"/>
                <w:sz w:val="18"/>
                <w:szCs w:val="18"/>
              </w:rPr>
              <w:t>苏州锴威特半导体股份有限公司</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EE48A8">
            <w:pPr>
              <w:spacing w:line="260" w:lineRule="exact"/>
              <w:jc w:val="right"/>
              <w:rPr>
                <w:rFonts w:ascii="宋体" w:eastAsia="宋体" w:hAnsi="宋体" w:cs="宋体"/>
                <w:sz w:val="18"/>
                <w:szCs w:val="18"/>
              </w:rPr>
            </w:pPr>
            <w:r>
              <w:rPr>
                <w:rFonts w:ascii="宋体" w:eastAsia="宋体" w:hAnsi="宋体" w:cs="宋体" w:hint="eastAsia"/>
                <w:sz w:val="18"/>
                <w:szCs w:val="18"/>
              </w:rPr>
              <w:t>1,688,171.36</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EE48A8">
            <w:pPr>
              <w:spacing w:line="260" w:lineRule="exact"/>
              <w:jc w:val="right"/>
              <w:rPr>
                <w:rFonts w:ascii="宋体" w:eastAsia="宋体" w:hAnsi="宋体" w:cs="宋体"/>
                <w:sz w:val="18"/>
                <w:szCs w:val="18"/>
              </w:rPr>
            </w:pPr>
            <w:r>
              <w:rPr>
                <w:rFonts w:ascii="宋体" w:eastAsia="宋体" w:hAnsi="宋体" w:cs="宋体" w:hint="eastAsia"/>
                <w:sz w:val="18"/>
                <w:szCs w:val="18"/>
              </w:rPr>
              <w:t>1,036,427.21</w:t>
            </w:r>
          </w:p>
        </w:tc>
      </w:tr>
      <w:tr w:rsidR="00745844" w:rsidTr="00EE48A8">
        <w:trPr>
          <w:trHeight w:val="410"/>
        </w:trPr>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EE48A8">
            <w:pPr>
              <w:spacing w:line="260" w:lineRule="exact"/>
              <w:rPr>
                <w:rFonts w:ascii="宋体" w:eastAsia="宋体" w:hAnsi="宋体" w:cs="宋体"/>
                <w:sz w:val="18"/>
                <w:szCs w:val="18"/>
              </w:rPr>
            </w:pPr>
            <w:r>
              <w:rPr>
                <w:rFonts w:ascii="宋体" w:eastAsia="宋体" w:hAnsi="宋体" w:cs="宋体" w:hint="eastAsia"/>
                <w:sz w:val="18"/>
                <w:szCs w:val="18"/>
              </w:rPr>
              <w:t>其他应付款</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EE48A8">
            <w:pPr>
              <w:spacing w:line="260" w:lineRule="exact"/>
              <w:rPr>
                <w:rFonts w:ascii="宋体" w:eastAsia="宋体" w:hAnsi="宋体" w:cs="宋体"/>
                <w:sz w:val="18"/>
                <w:szCs w:val="18"/>
              </w:rPr>
            </w:pPr>
            <w:r>
              <w:rPr>
                <w:rFonts w:ascii="宋体" w:eastAsia="宋体" w:hAnsi="宋体" w:cs="宋体" w:hint="eastAsia"/>
                <w:sz w:val="18"/>
                <w:szCs w:val="18"/>
              </w:rPr>
              <w:t>三明超越科技有限责任公司</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EE48A8">
            <w:pPr>
              <w:spacing w:line="260" w:lineRule="exact"/>
              <w:jc w:val="right"/>
              <w:rPr>
                <w:rFonts w:ascii="宋体" w:eastAsia="宋体" w:hAnsi="宋体" w:cs="宋体"/>
                <w:sz w:val="18"/>
                <w:szCs w:val="18"/>
              </w:rPr>
            </w:pPr>
            <w:r>
              <w:rPr>
                <w:rFonts w:ascii="宋体" w:eastAsia="宋体" w:hAnsi="宋体" w:cs="宋体" w:hint="eastAsia"/>
                <w:sz w:val="18"/>
                <w:szCs w:val="18"/>
              </w:rPr>
              <w:t>2,210,000.00</w:t>
            </w:r>
          </w:p>
        </w:tc>
        <w:tc>
          <w:tcPr>
            <w:tcW w:w="2410" w:type="dxa"/>
            <w:tcBorders>
              <w:top w:val="single" w:sz="2" w:space="0" w:color="auto"/>
              <w:left w:val="single" w:sz="2" w:space="0" w:color="auto"/>
              <w:bottom w:val="single" w:sz="2" w:space="0" w:color="auto"/>
              <w:right w:val="single" w:sz="2" w:space="0" w:color="auto"/>
            </w:tcBorders>
            <w:vAlign w:val="center"/>
          </w:tcPr>
          <w:p w:rsidR="00745844" w:rsidRDefault="00745844" w:rsidP="00EE48A8">
            <w:pPr>
              <w:spacing w:line="260" w:lineRule="exact"/>
              <w:jc w:val="right"/>
              <w:rPr>
                <w:rFonts w:ascii="宋体" w:eastAsia="宋体" w:hAnsi="宋体" w:cs="宋体"/>
                <w:sz w:val="18"/>
                <w:szCs w:val="18"/>
              </w:rPr>
            </w:pPr>
          </w:p>
        </w:tc>
      </w:tr>
    </w:tbl>
    <w:p w:rsidR="00745844" w:rsidRDefault="00745844" w:rsidP="00745844">
      <w:pPr>
        <w:pStyle w:val="2"/>
        <w:spacing w:before="300" w:after="300" w:line="320" w:lineRule="exact"/>
        <w:rPr>
          <w:rFonts w:ascii="宋体" w:eastAsia="宋体" w:hAnsi="宋体" w:cs="宋体"/>
          <w:b/>
          <w:bCs/>
          <w:sz w:val="24"/>
          <w:szCs w:val="24"/>
        </w:rPr>
      </w:pPr>
      <w:bookmarkStart w:id="402" w:name="_Toc989285"/>
      <w:r>
        <w:rPr>
          <w:rFonts w:ascii="宋体" w:eastAsia="宋体" w:hAnsi="宋体" w:cs="宋体" w:hint="eastAsia"/>
          <w:b/>
          <w:bCs/>
          <w:sz w:val="24"/>
          <w:szCs w:val="24"/>
        </w:rPr>
        <w:t>十五、股份支付</w:t>
      </w:r>
      <w:bookmarkEnd w:id="402"/>
    </w:p>
    <w:p w:rsidR="00745844" w:rsidRDefault="00745844" w:rsidP="00745844">
      <w:pPr>
        <w:pStyle w:val="3"/>
        <w:spacing w:line="280" w:lineRule="exact"/>
        <w:jc w:val="left"/>
        <w:rPr>
          <w:rFonts w:ascii="宋体" w:hAnsi="宋体" w:cs="宋体"/>
          <w:b/>
          <w:bCs/>
        </w:rPr>
      </w:pPr>
      <w:bookmarkStart w:id="403" w:name="_Toc989286"/>
      <w:r>
        <w:rPr>
          <w:rFonts w:ascii="宋体" w:hAnsi="宋体" w:cs="宋体" w:hint="eastAsia"/>
          <w:b/>
          <w:bCs/>
        </w:rPr>
        <w:t>1、股份支付总体情况</w:t>
      </w:r>
      <w:bookmarkEnd w:id="403"/>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pStyle w:val="3"/>
        <w:spacing w:line="280" w:lineRule="exact"/>
        <w:jc w:val="left"/>
        <w:rPr>
          <w:rFonts w:ascii="宋体" w:hAnsi="宋体" w:cs="宋体"/>
          <w:b/>
          <w:bCs/>
        </w:rPr>
      </w:pPr>
      <w:bookmarkStart w:id="404" w:name="_Toc989287"/>
      <w:r>
        <w:rPr>
          <w:rFonts w:ascii="宋体" w:hAnsi="宋体" w:cs="宋体" w:hint="eastAsia"/>
          <w:b/>
          <w:bCs/>
        </w:rPr>
        <w:t>2、以权益结算的股份支付情况</w:t>
      </w:r>
      <w:bookmarkEnd w:id="404"/>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pStyle w:val="3"/>
        <w:spacing w:line="280" w:lineRule="exact"/>
        <w:jc w:val="left"/>
        <w:rPr>
          <w:rFonts w:ascii="宋体" w:hAnsi="宋体" w:cs="宋体"/>
          <w:b/>
          <w:bCs/>
        </w:rPr>
      </w:pPr>
      <w:bookmarkStart w:id="405" w:name="_Toc989288"/>
      <w:r>
        <w:rPr>
          <w:rFonts w:ascii="宋体" w:hAnsi="宋体" w:cs="宋体" w:hint="eastAsia"/>
          <w:b/>
          <w:bCs/>
        </w:rPr>
        <w:t>3、以现金结算的股份支付情况</w:t>
      </w:r>
      <w:bookmarkEnd w:id="405"/>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pStyle w:val="3"/>
        <w:spacing w:line="280" w:lineRule="exact"/>
        <w:jc w:val="left"/>
        <w:rPr>
          <w:rFonts w:ascii="宋体" w:hAnsi="宋体" w:cs="宋体"/>
          <w:b/>
          <w:bCs/>
        </w:rPr>
      </w:pPr>
      <w:bookmarkStart w:id="406" w:name="_Toc989289"/>
      <w:r>
        <w:rPr>
          <w:rFonts w:ascii="宋体" w:hAnsi="宋体" w:cs="宋体" w:hint="eastAsia"/>
          <w:b/>
          <w:bCs/>
        </w:rPr>
        <w:t>4、本期股份支付费用</w:t>
      </w:r>
      <w:bookmarkEnd w:id="406"/>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pStyle w:val="2"/>
        <w:spacing w:before="300" w:after="300" w:line="320" w:lineRule="exact"/>
        <w:rPr>
          <w:rFonts w:ascii="宋体" w:eastAsia="宋体" w:hAnsi="宋体" w:cs="宋体"/>
          <w:b/>
          <w:bCs/>
          <w:sz w:val="24"/>
          <w:szCs w:val="24"/>
        </w:rPr>
      </w:pPr>
      <w:bookmarkStart w:id="407" w:name="_Toc989290"/>
      <w:r>
        <w:rPr>
          <w:rFonts w:ascii="宋体" w:eastAsia="宋体" w:hAnsi="宋体" w:cs="宋体" w:hint="eastAsia"/>
          <w:b/>
          <w:bCs/>
          <w:sz w:val="24"/>
          <w:szCs w:val="24"/>
        </w:rPr>
        <w:t>十六、承诺及或有事项</w:t>
      </w:r>
      <w:bookmarkEnd w:id="407"/>
    </w:p>
    <w:p w:rsidR="00745844" w:rsidRDefault="00745844" w:rsidP="00745844">
      <w:pPr>
        <w:pStyle w:val="3"/>
        <w:spacing w:line="280" w:lineRule="exact"/>
        <w:jc w:val="left"/>
        <w:rPr>
          <w:rFonts w:ascii="宋体" w:hAnsi="宋体" w:cs="宋体"/>
          <w:b/>
          <w:bCs/>
        </w:rPr>
      </w:pPr>
      <w:bookmarkStart w:id="408" w:name="_Toc989291"/>
      <w:r>
        <w:rPr>
          <w:rFonts w:ascii="宋体" w:hAnsi="宋体" w:cs="宋体" w:hint="eastAsia"/>
          <w:b/>
          <w:bCs/>
        </w:rPr>
        <w:t>1、重要承诺事项</w:t>
      </w:r>
      <w:bookmarkEnd w:id="408"/>
    </w:p>
    <w:p w:rsidR="00745844" w:rsidRDefault="00745844" w:rsidP="007A7E7C">
      <w:pPr>
        <w:pStyle w:val="a3"/>
        <w:spacing w:before="0" w:beforeAutospacing="0" w:after="0" w:afterAutospacing="0" w:line="360" w:lineRule="auto"/>
        <w:ind w:firstLine="420"/>
        <w:jc w:val="both"/>
        <w:rPr>
          <w:rFonts w:ascii="Times New Roman" w:hAnsi="Times New Roman" w:cs="Times New Roman"/>
          <w:sz w:val="21"/>
          <w:szCs w:val="21"/>
        </w:rPr>
      </w:pPr>
      <w:r>
        <w:rPr>
          <w:rFonts w:cs="Times New Roman" w:hint="eastAsia"/>
          <w:snapToGrid w:val="0"/>
          <w:color w:val="000000"/>
          <w:sz w:val="21"/>
          <w:szCs w:val="21"/>
        </w:rPr>
        <w:t>截至报告期期末，本公司无需要披露的重要承诺事项。</w:t>
      </w:r>
    </w:p>
    <w:p w:rsidR="00745844" w:rsidRDefault="00745844" w:rsidP="00745844">
      <w:pPr>
        <w:pStyle w:val="3"/>
        <w:spacing w:line="280" w:lineRule="exact"/>
        <w:jc w:val="left"/>
        <w:rPr>
          <w:rFonts w:ascii="宋体" w:hAnsi="宋体" w:cs="宋体"/>
          <w:b/>
          <w:bCs/>
        </w:rPr>
      </w:pPr>
      <w:bookmarkStart w:id="409" w:name="_Toc989292"/>
      <w:r>
        <w:rPr>
          <w:rFonts w:ascii="宋体" w:hAnsi="宋体" w:cs="宋体" w:hint="eastAsia"/>
          <w:b/>
          <w:bCs/>
        </w:rPr>
        <w:t>2、或有事项</w:t>
      </w:r>
      <w:bookmarkEnd w:id="409"/>
    </w:p>
    <w:p w:rsidR="00745844" w:rsidRDefault="00745844" w:rsidP="00745844">
      <w:pPr>
        <w:keepNext/>
        <w:keepLines/>
        <w:spacing w:before="300" w:after="300" w:line="280" w:lineRule="exact"/>
        <w:outlineLvl w:val="3"/>
        <w:rPr>
          <w:rFonts w:ascii="宋体" w:eastAsia="宋体" w:hAnsi="宋体" w:cs="宋体"/>
          <w:b/>
          <w:bCs/>
          <w:szCs w:val="21"/>
        </w:rPr>
      </w:pPr>
      <w:bookmarkStart w:id="410" w:name="_Toc989293"/>
      <w:r>
        <w:rPr>
          <w:rFonts w:ascii="宋体" w:eastAsia="宋体" w:hAnsi="宋体" w:cs="宋体" w:hint="eastAsia"/>
          <w:b/>
          <w:bCs/>
          <w:szCs w:val="21"/>
        </w:rPr>
        <w:t>（1） 资产负债表</w:t>
      </w:r>
      <w:proofErr w:type="gramStart"/>
      <w:r>
        <w:rPr>
          <w:rFonts w:ascii="宋体" w:eastAsia="宋体" w:hAnsi="宋体" w:cs="宋体" w:hint="eastAsia"/>
          <w:b/>
          <w:bCs/>
          <w:szCs w:val="21"/>
        </w:rPr>
        <w:t>日存在</w:t>
      </w:r>
      <w:proofErr w:type="gramEnd"/>
      <w:r>
        <w:rPr>
          <w:rFonts w:ascii="宋体" w:eastAsia="宋体" w:hAnsi="宋体" w:cs="宋体" w:hint="eastAsia"/>
          <w:b/>
          <w:bCs/>
          <w:szCs w:val="21"/>
        </w:rPr>
        <w:t>的重要或有事项</w:t>
      </w:r>
      <w:bookmarkEnd w:id="410"/>
    </w:p>
    <w:p w:rsidR="00745844" w:rsidRPr="007A7E7C" w:rsidRDefault="00745844" w:rsidP="007A7E7C">
      <w:pPr>
        <w:pStyle w:val="a3"/>
        <w:spacing w:before="0" w:beforeAutospacing="0" w:after="0" w:afterAutospacing="0" w:line="360" w:lineRule="auto"/>
        <w:ind w:firstLine="420"/>
        <w:jc w:val="both"/>
        <w:rPr>
          <w:rFonts w:cs="Times New Roman"/>
          <w:snapToGrid w:val="0"/>
          <w:color w:val="000000"/>
          <w:sz w:val="21"/>
          <w:szCs w:val="21"/>
        </w:rPr>
      </w:pPr>
      <w:r>
        <w:rPr>
          <w:rFonts w:cs="Times New Roman" w:hint="eastAsia"/>
          <w:snapToGrid w:val="0"/>
          <w:color w:val="000000"/>
          <w:sz w:val="21"/>
          <w:szCs w:val="21"/>
        </w:rPr>
        <w:t>截至报告期期末，本公司无需要披露的重要或有事项。</w:t>
      </w:r>
    </w:p>
    <w:p w:rsidR="00745844" w:rsidRDefault="00745844" w:rsidP="00745844">
      <w:pPr>
        <w:keepNext/>
        <w:keepLines/>
        <w:spacing w:before="300" w:after="300" w:line="280" w:lineRule="exact"/>
        <w:outlineLvl w:val="3"/>
        <w:rPr>
          <w:rFonts w:ascii="宋体" w:eastAsia="宋体" w:hAnsi="宋体" w:cs="宋体"/>
          <w:b/>
          <w:bCs/>
          <w:szCs w:val="21"/>
        </w:rPr>
      </w:pPr>
      <w:bookmarkStart w:id="411" w:name="_Toc989294"/>
      <w:r>
        <w:rPr>
          <w:rFonts w:ascii="宋体" w:eastAsia="宋体" w:hAnsi="宋体" w:cs="宋体" w:hint="eastAsia"/>
          <w:b/>
          <w:bCs/>
          <w:szCs w:val="21"/>
        </w:rPr>
        <w:lastRenderedPageBreak/>
        <w:t>（2） 公司没有需要披露的重要或有事项，也应予以说明</w:t>
      </w:r>
      <w:bookmarkEnd w:id="411"/>
    </w:p>
    <w:p w:rsidR="00745844" w:rsidRPr="007A7E7C" w:rsidRDefault="00745844" w:rsidP="007A7E7C">
      <w:pPr>
        <w:pStyle w:val="a3"/>
        <w:spacing w:before="0" w:beforeAutospacing="0" w:after="0" w:afterAutospacing="0" w:line="360" w:lineRule="auto"/>
        <w:ind w:firstLine="420"/>
        <w:jc w:val="both"/>
        <w:rPr>
          <w:rFonts w:cs="Times New Roman"/>
          <w:snapToGrid w:val="0"/>
          <w:color w:val="000000"/>
          <w:sz w:val="21"/>
          <w:szCs w:val="21"/>
        </w:rPr>
      </w:pPr>
      <w:r w:rsidRPr="007A7E7C">
        <w:rPr>
          <w:rFonts w:cs="Times New Roman" w:hint="eastAsia"/>
          <w:snapToGrid w:val="0"/>
          <w:color w:val="000000"/>
          <w:sz w:val="21"/>
          <w:szCs w:val="21"/>
        </w:rPr>
        <w:t>公司不存在需要披露的重要或有事项。</w:t>
      </w:r>
    </w:p>
    <w:p w:rsidR="00745844" w:rsidRDefault="00745844" w:rsidP="00745844">
      <w:pPr>
        <w:pStyle w:val="2"/>
        <w:spacing w:before="300" w:after="300" w:line="320" w:lineRule="exact"/>
        <w:rPr>
          <w:rFonts w:ascii="宋体" w:eastAsia="宋体" w:hAnsi="宋体" w:cs="宋体"/>
          <w:b/>
          <w:bCs/>
          <w:sz w:val="24"/>
          <w:szCs w:val="24"/>
        </w:rPr>
      </w:pPr>
      <w:bookmarkStart w:id="412" w:name="_Toc989295"/>
      <w:r>
        <w:rPr>
          <w:rFonts w:ascii="宋体" w:eastAsia="宋体" w:hAnsi="宋体" w:cs="宋体" w:hint="eastAsia"/>
          <w:b/>
          <w:bCs/>
          <w:sz w:val="24"/>
          <w:szCs w:val="24"/>
        </w:rPr>
        <w:t>十七、资产负债表日后事项</w:t>
      </w:r>
      <w:bookmarkEnd w:id="412"/>
    </w:p>
    <w:p w:rsidR="003136B3" w:rsidRDefault="00745844" w:rsidP="003136B3">
      <w:pPr>
        <w:pStyle w:val="a3"/>
        <w:widowControl w:val="0"/>
        <w:spacing w:before="0" w:beforeAutospacing="0" w:after="0" w:afterAutospacing="0" w:line="360" w:lineRule="auto"/>
        <w:ind w:firstLine="420"/>
        <w:jc w:val="both"/>
        <w:rPr>
          <w:rFonts w:cs="Times New Roman"/>
          <w:snapToGrid w:val="0"/>
          <w:color w:val="000000"/>
          <w:sz w:val="21"/>
          <w:szCs w:val="21"/>
        </w:rPr>
      </w:pPr>
      <w:r w:rsidRPr="007A7E7C">
        <w:rPr>
          <w:rFonts w:cs="Times New Roman" w:hint="eastAsia"/>
          <w:snapToGrid w:val="0"/>
          <w:color w:val="000000"/>
          <w:sz w:val="21"/>
          <w:szCs w:val="21"/>
        </w:rPr>
        <w:t>德力西集团持有的</w:t>
      </w:r>
      <w:r w:rsidRPr="007A7E7C">
        <w:rPr>
          <w:rFonts w:cs="Times New Roman"/>
          <w:snapToGrid w:val="0"/>
          <w:color w:val="000000"/>
          <w:sz w:val="21"/>
          <w:szCs w:val="21"/>
        </w:rPr>
        <w:t>3,000</w:t>
      </w:r>
      <w:r w:rsidRPr="007A7E7C">
        <w:rPr>
          <w:rFonts w:cs="Times New Roman" w:hint="eastAsia"/>
          <w:snapToGrid w:val="0"/>
          <w:color w:val="000000"/>
          <w:sz w:val="21"/>
          <w:szCs w:val="21"/>
        </w:rPr>
        <w:t>万股公司股份被广东省广州市中级人民法院于</w:t>
      </w:r>
      <w:r w:rsidRPr="007A7E7C">
        <w:rPr>
          <w:rFonts w:cs="Times New Roman"/>
          <w:snapToGrid w:val="0"/>
          <w:color w:val="000000"/>
          <w:sz w:val="21"/>
          <w:szCs w:val="21"/>
        </w:rPr>
        <w:t>2025</w:t>
      </w:r>
      <w:r w:rsidRPr="007A7E7C">
        <w:rPr>
          <w:rFonts w:cs="Times New Roman" w:hint="eastAsia"/>
          <w:snapToGrid w:val="0"/>
          <w:color w:val="000000"/>
          <w:sz w:val="21"/>
          <w:szCs w:val="21"/>
        </w:rPr>
        <w:t>年</w:t>
      </w:r>
      <w:r w:rsidRPr="007A7E7C">
        <w:rPr>
          <w:rFonts w:cs="Times New Roman"/>
          <w:snapToGrid w:val="0"/>
          <w:color w:val="000000"/>
          <w:sz w:val="21"/>
          <w:szCs w:val="21"/>
        </w:rPr>
        <w:t>2</w:t>
      </w:r>
      <w:r w:rsidRPr="007A7E7C">
        <w:rPr>
          <w:rFonts w:cs="Times New Roman" w:hint="eastAsia"/>
          <w:snapToGrid w:val="0"/>
          <w:color w:val="000000"/>
          <w:sz w:val="21"/>
          <w:szCs w:val="21"/>
        </w:rPr>
        <w:t>月</w:t>
      </w:r>
      <w:r w:rsidRPr="007A7E7C">
        <w:rPr>
          <w:rFonts w:cs="Times New Roman"/>
          <w:snapToGrid w:val="0"/>
          <w:color w:val="000000"/>
          <w:sz w:val="21"/>
          <w:szCs w:val="21"/>
        </w:rPr>
        <w:t>13</w:t>
      </w:r>
      <w:r w:rsidRPr="007A7E7C">
        <w:rPr>
          <w:rFonts w:cs="Times New Roman" w:hint="eastAsia"/>
          <w:snapToGrid w:val="0"/>
          <w:color w:val="000000"/>
          <w:sz w:val="21"/>
          <w:szCs w:val="21"/>
        </w:rPr>
        <w:t>日</w:t>
      </w:r>
      <w:r w:rsidRPr="007A7E7C">
        <w:rPr>
          <w:rFonts w:cs="Times New Roman"/>
          <w:snapToGrid w:val="0"/>
          <w:color w:val="000000"/>
          <w:sz w:val="21"/>
          <w:szCs w:val="21"/>
        </w:rPr>
        <w:t>10</w:t>
      </w:r>
      <w:r w:rsidRPr="007A7E7C">
        <w:rPr>
          <w:rFonts w:cs="Times New Roman" w:hint="eastAsia"/>
          <w:snapToGrid w:val="0"/>
          <w:color w:val="000000"/>
          <w:sz w:val="21"/>
          <w:szCs w:val="21"/>
        </w:rPr>
        <w:t>时至</w:t>
      </w:r>
      <w:r w:rsidRPr="007A7E7C">
        <w:rPr>
          <w:rFonts w:cs="Times New Roman"/>
          <w:snapToGrid w:val="0"/>
          <w:color w:val="000000"/>
          <w:sz w:val="21"/>
          <w:szCs w:val="21"/>
        </w:rPr>
        <w:t>2025</w:t>
      </w:r>
      <w:r w:rsidRPr="007A7E7C">
        <w:rPr>
          <w:rFonts w:cs="Times New Roman" w:hint="eastAsia"/>
          <w:snapToGrid w:val="0"/>
          <w:color w:val="000000"/>
          <w:sz w:val="21"/>
          <w:szCs w:val="21"/>
        </w:rPr>
        <w:t>年</w:t>
      </w:r>
      <w:r w:rsidRPr="007A7E7C">
        <w:rPr>
          <w:rFonts w:cs="Times New Roman"/>
          <w:snapToGrid w:val="0"/>
          <w:color w:val="000000"/>
          <w:sz w:val="21"/>
          <w:szCs w:val="21"/>
        </w:rPr>
        <w:t>2</w:t>
      </w:r>
      <w:r w:rsidRPr="007A7E7C">
        <w:rPr>
          <w:rFonts w:cs="Times New Roman" w:hint="eastAsia"/>
          <w:snapToGrid w:val="0"/>
          <w:color w:val="000000"/>
          <w:sz w:val="21"/>
          <w:szCs w:val="21"/>
        </w:rPr>
        <w:t>月</w:t>
      </w:r>
      <w:r w:rsidRPr="007A7E7C">
        <w:rPr>
          <w:rFonts w:cs="Times New Roman"/>
          <w:snapToGrid w:val="0"/>
          <w:color w:val="000000"/>
          <w:sz w:val="21"/>
          <w:szCs w:val="21"/>
        </w:rPr>
        <w:t>14</w:t>
      </w:r>
      <w:r w:rsidRPr="007A7E7C">
        <w:rPr>
          <w:rFonts w:cs="Times New Roman" w:hint="eastAsia"/>
          <w:snapToGrid w:val="0"/>
          <w:color w:val="000000"/>
          <w:sz w:val="21"/>
          <w:szCs w:val="21"/>
        </w:rPr>
        <w:t>日</w:t>
      </w:r>
      <w:r w:rsidRPr="007A7E7C">
        <w:rPr>
          <w:rFonts w:cs="Times New Roman"/>
          <w:snapToGrid w:val="0"/>
          <w:color w:val="000000"/>
          <w:sz w:val="21"/>
          <w:szCs w:val="21"/>
        </w:rPr>
        <w:t>10</w:t>
      </w:r>
      <w:r w:rsidRPr="007A7E7C">
        <w:rPr>
          <w:rFonts w:cs="Times New Roman" w:hint="eastAsia"/>
          <w:snapToGrid w:val="0"/>
          <w:color w:val="000000"/>
          <w:sz w:val="21"/>
          <w:szCs w:val="21"/>
        </w:rPr>
        <w:t>时止（延时除外）在</w:t>
      </w:r>
      <w:proofErr w:type="gramStart"/>
      <w:r w:rsidRPr="007A7E7C">
        <w:rPr>
          <w:rFonts w:cs="Times New Roman" w:hint="eastAsia"/>
          <w:snapToGrid w:val="0"/>
          <w:color w:val="000000"/>
          <w:sz w:val="21"/>
          <w:szCs w:val="21"/>
        </w:rPr>
        <w:t>淘宝网络</w:t>
      </w:r>
      <w:proofErr w:type="gramEnd"/>
      <w:r w:rsidRPr="007A7E7C">
        <w:rPr>
          <w:rFonts w:cs="Times New Roman" w:hint="eastAsia"/>
          <w:snapToGrid w:val="0"/>
          <w:color w:val="000000"/>
          <w:sz w:val="21"/>
          <w:szCs w:val="21"/>
        </w:rPr>
        <w:t>司法拍卖平台上进行第二次公开拍卖。根据拍卖平台公示的《网络竞价成功确认书》，竞买</w:t>
      </w:r>
      <w:proofErr w:type="gramStart"/>
      <w:r w:rsidRPr="007A7E7C">
        <w:rPr>
          <w:rFonts w:cs="Times New Roman" w:hint="eastAsia"/>
          <w:snapToGrid w:val="0"/>
          <w:color w:val="000000"/>
          <w:sz w:val="21"/>
          <w:szCs w:val="21"/>
        </w:rPr>
        <w:t>人方蕾以最</w:t>
      </w:r>
      <w:proofErr w:type="gramEnd"/>
      <w:r w:rsidRPr="007A7E7C">
        <w:rPr>
          <w:rFonts w:cs="Times New Roman" w:hint="eastAsia"/>
          <w:snapToGrid w:val="0"/>
          <w:color w:val="000000"/>
          <w:sz w:val="21"/>
          <w:szCs w:val="21"/>
        </w:rPr>
        <w:t>高价竞得</w:t>
      </w:r>
      <w:r w:rsidRPr="007A7E7C">
        <w:rPr>
          <w:rFonts w:cs="Times New Roman"/>
          <w:snapToGrid w:val="0"/>
          <w:color w:val="000000"/>
          <w:sz w:val="21"/>
          <w:szCs w:val="21"/>
        </w:rPr>
        <w:t>2,000</w:t>
      </w:r>
      <w:r w:rsidRPr="007A7E7C">
        <w:rPr>
          <w:rFonts w:cs="Times New Roman" w:hint="eastAsia"/>
          <w:snapToGrid w:val="0"/>
          <w:color w:val="000000"/>
          <w:sz w:val="21"/>
          <w:szCs w:val="21"/>
        </w:rPr>
        <w:t>万股，竞买人</w:t>
      </w:r>
      <w:proofErr w:type="gramStart"/>
      <w:r w:rsidRPr="007A7E7C">
        <w:rPr>
          <w:rFonts w:cs="Times New Roman" w:hint="eastAsia"/>
          <w:snapToGrid w:val="0"/>
          <w:color w:val="000000"/>
          <w:sz w:val="21"/>
          <w:szCs w:val="21"/>
        </w:rPr>
        <w:t>安忠歌</w:t>
      </w:r>
      <w:proofErr w:type="gramEnd"/>
      <w:r w:rsidRPr="007A7E7C">
        <w:rPr>
          <w:rFonts w:cs="Times New Roman" w:hint="eastAsia"/>
          <w:snapToGrid w:val="0"/>
          <w:color w:val="000000"/>
          <w:sz w:val="21"/>
          <w:szCs w:val="21"/>
        </w:rPr>
        <w:t>以</w:t>
      </w:r>
      <w:proofErr w:type="gramStart"/>
      <w:r w:rsidRPr="007A7E7C">
        <w:rPr>
          <w:rFonts w:cs="Times New Roman" w:hint="eastAsia"/>
          <w:snapToGrid w:val="0"/>
          <w:color w:val="000000"/>
          <w:sz w:val="21"/>
          <w:szCs w:val="21"/>
        </w:rPr>
        <w:t>最</w:t>
      </w:r>
      <w:proofErr w:type="gramEnd"/>
      <w:r w:rsidRPr="007A7E7C">
        <w:rPr>
          <w:rFonts w:cs="Times New Roman" w:hint="eastAsia"/>
          <w:snapToGrid w:val="0"/>
          <w:color w:val="000000"/>
          <w:sz w:val="21"/>
          <w:szCs w:val="21"/>
        </w:rPr>
        <w:t>高价竞得</w:t>
      </w:r>
      <w:r w:rsidRPr="007A7E7C">
        <w:rPr>
          <w:rFonts w:cs="Times New Roman"/>
          <w:snapToGrid w:val="0"/>
          <w:color w:val="000000"/>
          <w:sz w:val="21"/>
          <w:szCs w:val="21"/>
        </w:rPr>
        <w:t>1,000</w:t>
      </w:r>
      <w:r w:rsidRPr="007A7E7C">
        <w:rPr>
          <w:rFonts w:cs="Times New Roman" w:hint="eastAsia"/>
          <w:snapToGrid w:val="0"/>
          <w:color w:val="000000"/>
          <w:sz w:val="21"/>
          <w:szCs w:val="21"/>
        </w:rPr>
        <w:t>万股。根据公司于</w:t>
      </w:r>
      <w:r w:rsidRPr="007A7E7C">
        <w:rPr>
          <w:rFonts w:cs="Times New Roman"/>
          <w:snapToGrid w:val="0"/>
          <w:color w:val="000000"/>
          <w:sz w:val="21"/>
          <w:szCs w:val="21"/>
        </w:rPr>
        <w:t>2025</w:t>
      </w:r>
      <w:r w:rsidRPr="007A7E7C">
        <w:rPr>
          <w:rFonts w:cs="Times New Roman" w:hint="eastAsia"/>
          <w:snapToGrid w:val="0"/>
          <w:color w:val="000000"/>
          <w:sz w:val="21"/>
          <w:szCs w:val="21"/>
        </w:rPr>
        <w:t>年</w:t>
      </w:r>
      <w:r w:rsidRPr="007A7E7C">
        <w:rPr>
          <w:rFonts w:cs="Times New Roman"/>
          <w:snapToGrid w:val="0"/>
          <w:color w:val="000000"/>
          <w:sz w:val="21"/>
          <w:szCs w:val="21"/>
        </w:rPr>
        <w:t>2</w:t>
      </w:r>
      <w:r w:rsidRPr="007A7E7C">
        <w:rPr>
          <w:rFonts w:cs="Times New Roman" w:hint="eastAsia"/>
          <w:snapToGrid w:val="0"/>
          <w:color w:val="000000"/>
          <w:sz w:val="21"/>
          <w:szCs w:val="21"/>
        </w:rPr>
        <w:t>月</w:t>
      </w:r>
      <w:r w:rsidRPr="007A7E7C">
        <w:rPr>
          <w:rFonts w:cs="Times New Roman"/>
          <w:snapToGrid w:val="0"/>
          <w:color w:val="000000"/>
          <w:sz w:val="21"/>
          <w:szCs w:val="21"/>
        </w:rPr>
        <w:t>15</w:t>
      </w:r>
      <w:r w:rsidRPr="007A7E7C">
        <w:rPr>
          <w:rFonts w:cs="Times New Roman" w:hint="eastAsia"/>
          <w:snapToGrid w:val="0"/>
          <w:color w:val="000000"/>
          <w:sz w:val="21"/>
          <w:szCs w:val="21"/>
        </w:rPr>
        <w:t>日在指定媒体披露《关于控股股东所持公司部分股份被第二次司法拍卖的进展公告》显示，本次权益变动系广东甘化科工股份有限公司控股股东德力西集团有限公司所持公司部分股份被司法拍卖被动减持所致，不触及要约收购，本次权益变动后，不会导致德力西集团作为公司控股股东的地位及实际控制权变更，本次权益变动不会对公司经营活动产生重大影响。</w:t>
      </w:r>
      <w:bookmarkStart w:id="413" w:name="_Toc989297"/>
    </w:p>
    <w:p w:rsidR="00745844" w:rsidRDefault="00745844" w:rsidP="003136B3">
      <w:pPr>
        <w:pStyle w:val="2"/>
        <w:spacing w:before="300" w:after="300" w:line="320" w:lineRule="exact"/>
        <w:rPr>
          <w:rFonts w:ascii="宋体" w:eastAsia="宋体" w:hAnsi="宋体" w:cs="宋体"/>
          <w:b/>
          <w:bCs/>
          <w:sz w:val="24"/>
          <w:szCs w:val="24"/>
        </w:rPr>
      </w:pPr>
      <w:r>
        <w:rPr>
          <w:rFonts w:ascii="宋体" w:eastAsia="宋体" w:hAnsi="宋体" w:cs="宋体" w:hint="eastAsia"/>
          <w:b/>
          <w:bCs/>
          <w:sz w:val="24"/>
          <w:szCs w:val="24"/>
        </w:rPr>
        <w:t>十八、其他重要事项</w:t>
      </w:r>
      <w:bookmarkEnd w:id="413"/>
    </w:p>
    <w:p w:rsidR="00745844" w:rsidRDefault="00745844" w:rsidP="00745844">
      <w:pPr>
        <w:pStyle w:val="3"/>
        <w:spacing w:line="280" w:lineRule="exact"/>
        <w:jc w:val="left"/>
        <w:rPr>
          <w:rFonts w:ascii="宋体" w:hAnsi="宋体" w:cs="宋体"/>
          <w:b/>
          <w:bCs/>
        </w:rPr>
      </w:pPr>
      <w:bookmarkStart w:id="414" w:name="_Toc989298"/>
      <w:r>
        <w:rPr>
          <w:rFonts w:ascii="宋体" w:hAnsi="宋体" w:cs="宋体" w:hint="eastAsia"/>
          <w:b/>
          <w:bCs/>
        </w:rPr>
        <w:t>1、债务重组</w:t>
      </w:r>
      <w:bookmarkEnd w:id="414"/>
    </w:p>
    <w:p w:rsidR="00745844" w:rsidRPr="007A7E7C" w:rsidRDefault="00745844" w:rsidP="007A7E7C">
      <w:pPr>
        <w:pStyle w:val="a3"/>
        <w:spacing w:before="0" w:beforeAutospacing="0" w:after="0" w:afterAutospacing="0" w:line="360" w:lineRule="auto"/>
        <w:ind w:firstLine="420"/>
        <w:jc w:val="both"/>
        <w:rPr>
          <w:rFonts w:cs="Times New Roman"/>
          <w:snapToGrid w:val="0"/>
          <w:color w:val="000000"/>
          <w:sz w:val="21"/>
          <w:szCs w:val="21"/>
        </w:rPr>
      </w:pPr>
      <w:r w:rsidRPr="007A7E7C">
        <w:rPr>
          <w:rFonts w:cs="Times New Roman" w:hint="eastAsia"/>
          <w:snapToGrid w:val="0"/>
          <w:color w:val="000000"/>
          <w:sz w:val="21"/>
          <w:szCs w:val="21"/>
        </w:rPr>
        <w:t>报告期内，本公司不存在债务重组的情形。</w:t>
      </w:r>
    </w:p>
    <w:p w:rsidR="00745844" w:rsidRDefault="00745844" w:rsidP="00745844">
      <w:pPr>
        <w:pStyle w:val="3"/>
        <w:spacing w:line="280" w:lineRule="exact"/>
        <w:jc w:val="left"/>
        <w:rPr>
          <w:rFonts w:ascii="宋体" w:hAnsi="宋体" w:cs="宋体"/>
          <w:b/>
          <w:bCs/>
        </w:rPr>
      </w:pPr>
      <w:bookmarkStart w:id="415" w:name="_Toc989299"/>
      <w:r>
        <w:rPr>
          <w:rFonts w:ascii="宋体" w:hAnsi="宋体" w:cs="宋体" w:hint="eastAsia"/>
          <w:b/>
          <w:bCs/>
        </w:rPr>
        <w:t>2、资产置换</w:t>
      </w:r>
      <w:bookmarkEnd w:id="415"/>
    </w:p>
    <w:p w:rsidR="00745844" w:rsidRDefault="00745844" w:rsidP="00745844">
      <w:pPr>
        <w:keepNext/>
        <w:keepLines/>
        <w:spacing w:before="300" w:after="300" w:line="280" w:lineRule="exact"/>
        <w:outlineLvl w:val="3"/>
        <w:rPr>
          <w:rFonts w:ascii="宋体" w:eastAsia="宋体" w:hAnsi="宋体" w:cs="宋体"/>
          <w:b/>
          <w:bCs/>
          <w:szCs w:val="21"/>
        </w:rPr>
      </w:pPr>
      <w:bookmarkStart w:id="416" w:name="_Toc989300"/>
      <w:r>
        <w:rPr>
          <w:rFonts w:ascii="宋体" w:eastAsia="宋体" w:hAnsi="宋体" w:cs="宋体" w:hint="eastAsia"/>
          <w:b/>
          <w:bCs/>
          <w:szCs w:val="21"/>
        </w:rPr>
        <w:t>（1） 非货币性资产交换</w:t>
      </w:r>
      <w:bookmarkEnd w:id="416"/>
    </w:p>
    <w:p w:rsidR="00745844" w:rsidRPr="007A7E7C" w:rsidRDefault="00745844" w:rsidP="007A7E7C">
      <w:pPr>
        <w:pStyle w:val="a3"/>
        <w:spacing w:before="0" w:beforeAutospacing="0" w:after="0" w:afterAutospacing="0" w:line="360" w:lineRule="auto"/>
        <w:ind w:firstLine="420"/>
        <w:jc w:val="both"/>
        <w:rPr>
          <w:rFonts w:cs="Times New Roman"/>
          <w:snapToGrid w:val="0"/>
          <w:color w:val="000000"/>
          <w:sz w:val="21"/>
          <w:szCs w:val="21"/>
        </w:rPr>
      </w:pPr>
      <w:r w:rsidRPr="007A7E7C">
        <w:rPr>
          <w:rFonts w:cs="Times New Roman" w:hint="eastAsia"/>
          <w:snapToGrid w:val="0"/>
          <w:color w:val="000000"/>
          <w:sz w:val="21"/>
          <w:szCs w:val="21"/>
        </w:rPr>
        <w:t>报告期内，本公司不存在资产置换的情形。</w:t>
      </w:r>
    </w:p>
    <w:p w:rsidR="00745844" w:rsidRDefault="00745844" w:rsidP="00745844">
      <w:pPr>
        <w:pStyle w:val="3"/>
        <w:spacing w:line="280" w:lineRule="exact"/>
        <w:jc w:val="left"/>
        <w:rPr>
          <w:rFonts w:ascii="宋体" w:hAnsi="宋体" w:cs="宋体"/>
          <w:b/>
          <w:bCs/>
        </w:rPr>
      </w:pPr>
      <w:bookmarkStart w:id="417" w:name="_Toc989301"/>
      <w:r>
        <w:rPr>
          <w:rFonts w:ascii="宋体" w:hAnsi="宋体" w:cs="宋体" w:hint="eastAsia"/>
          <w:b/>
          <w:bCs/>
        </w:rPr>
        <w:t>3、年金计划</w:t>
      </w:r>
      <w:bookmarkEnd w:id="417"/>
    </w:p>
    <w:p w:rsidR="00745844" w:rsidRPr="007A7E7C" w:rsidRDefault="00745844" w:rsidP="007A7E7C">
      <w:pPr>
        <w:pStyle w:val="a3"/>
        <w:spacing w:before="0" w:beforeAutospacing="0" w:after="0" w:afterAutospacing="0" w:line="360" w:lineRule="auto"/>
        <w:ind w:firstLine="420"/>
        <w:jc w:val="both"/>
        <w:rPr>
          <w:rFonts w:cs="Times New Roman"/>
          <w:snapToGrid w:val="0"/>
          <w:color w:val="000000"/>
          <w:sz w:val="21"/>
          <w:szCs w:val="21"/>
        </w:rPr>
      </w:pPr>
      <w:r w:rsidRPr="007A7E7C">
        <w:rPr>
          <w:rFonts w:cs="Times New Roman" w:hint="eastAsia"/>
          <w:snapToGrid w:val="0"/>
          <w:color w:val="000000"/>
          <w:sz w:val="21"/>
          <w:szCs w:val="21"/>
        </w:rPr>
        <w:t>报告期内，公司不存在年金计划。</w:t>
      </w:r>
    </w:p>
    <w:p w:rsidR="00745844" w:rsidRDefault="00745844" w:rsidP="00745844">
      <w:pPr>
        <w:pStyle w:val="3"/>
        <w:spacing w:line="280" w:lineRule="exact"/>
        <w:jc w:val="left"/>
        <w:rPr>
          <w:rFonts w:ascii="宋体" w:hAnsi="宋体" w:cs="宋体"/>
          <w:b/>
          <w:bCs/>
        </w:rPr>
      </w:pPr>
      <w:bookmarkStart w:id="418" w:name="_Toc989302"/>
      <w:r>
        <w:rPr>
          <w:rFonts w:ascii="宋体" w:hAnsi="宋体" w:cs="宋体" w:hint="eastAsia"/>
          <w:b/>
          <w:bCs/>
        </w:rPr>
        <w:t>4、终止经营</w:t>
      </w:r>
      <w:bookmarkEnd w:id="418"/>
    </w:p>
    <w:p w:rsidR="00745844" w:rsidRPr="007A7E7C" w:rsidRDefault="00745844" w:rsidP="007A7E7C">
      <w:pPr>
        <w:pStyle w:val="a3"/>
        <w:spacing w:before="0" w:beforeAutospacing="0" w:after="0" w:afterAutospacing="0" w:line="360" w:lineRule="auto"/>
        <w:ind w:firstLine="420"/>
        <w:jc w:val="both"/>
        <w:rPr>
          <w:rFonts w:cs="Times New Roman"/>
          <w:snapToGrid w:val="0"/>
          <w:color w:val="000000"/>
          <w:sz w:val="21"/>
          <w:szCs w:val="21"/>
        </w:rPr>
      </w:pPr>
      <w:r w:rsidRPr="007A7E7C">
        <w:rPr>
          <w:rFonts w:cs="Times New Roman" w:hint="eastAsia"/>
          <w:snapToGrid w:val="0"/>
          <w:color w:val="000000"/>
          <w:sz w:val="21"/>
          <w:szCs w:val="21"/>
        </w:rPr>
        <w:t>报告期内，公司不存在终止经营的情形。</w:t>
      </w:r>
    </w:p>
    <w:p w:rsidR="00745844" w:rsidRDefault="00745844" w:rsidP="00745844">
      <w:pPr>
        <w:pStyle w:val="3"/>
        <w:spacing w:line="280" w:lineRule="exact"/>
        <w:jc w:val="left"/>
        <w:rPr>
          <w:rFonts w:ascii="宋体" w:hAnsi="宋体" w:cs="宋体"/>
          <w:b/>
          <w:bCs/>
        </w:rPr>
      </w:pPr>
      <w:bookmarkStart w:id="419" w:name="_Toc989303"/>
      <w:r>
        <w:rPr>
          <w:rFonts w:ascii="宋体" w:hAnsi="宋体" w:cs="宋体" w:hint="eastAsia"/>
          <w:b/>
          <w:bCs/>
        </w:rPr>
        <w:t>5、分部信息</w:t>
      </w:r>
      <w:bookmarkEnd w:id="419"/>
    </w:p>
    <w:p w:rsidR="00745844" w:rsidRDefault="00745844" w:rsidP="00745844">
      <w:pPr>
        <w:keepNext/>
        <w:keepLines/>
        <w:spacing w:before="300" w:after="300" w:line="280" w:lineRule="exact"/>
        <w:outlineLvl w:val="3"/>
        <w:rPr>
          <w:rFonts w:ascii="宋体" w:eastAsia="宋体" w:hAnsi="宋体" w:cs="宋体"/>
          <w:b/>
          <w:bCs/>
          <w:szCs w:val="21"/>
        </w:rPr>
      </w:pPr>
      <w:bookmarkStart w:id="420" w:name="_Toc989304"/>
      <w:r>
        <w:rPr>
          <w:rFonts w:ascii="宋体" w:eastAsia="宋体" w:hAnsi="宋体" w:cs="宋体" w:hint="eastAsia"/>
          <w:b/>
          <w:bCs/>
          <w:szCs w:val="21"/>
        </w:rPr>
        <w:t>（1） 报告分部的确定依据与会计政策</w:t>
      </w:r>
      <w:bookmarkEnd w:id="420"/>
    </w:p>
    <w:p w:rsidR="00745844" w:rsidRPr="007A7E7C" w:rsidRDefault="00745844" w:rsidP="007A7E7C">
      <w:pPr>
        <w:pStyle w:val="a3"/>
        <w:spacing w:before="0" w:beforeAutospacing="0" w:after="0" w:afterAutospacing="0" w:line="360" w:lineRule="auto"/>
        <w:ind w:firstLine="420"/>
        <w:jc w:val="both"/>
        <w:rPr>
          <w:rFonts w:cs="Times New Roman"/>
          <w:snapToGrid w:val="0"/>
          <w:color w:val="000000"/>
          <w:sz w:val="21"/>
          <w:szCs w:val="21"/>
        </w:rPr>
      </w:pPr>
      <w:r w:rsidRPr="007A7E7C">
        <w:rPr>
          <w:rFonts w:cs="Times New Roman" w:hint="eastAsia"/>
          <w:snapToGrid w:val="0"/>
          <w:color w:val="000000"/>
          <w:sz w:val="21"/>
          <w:szCs w:val="21"/>
        </w:rPr>
        <w:t>报告分部按产品分类确定，报告分部均执行公司的统一会计政策。</w:t>
      </w:r>
    </w:p>
    <w:p w:rsidR="00745844" w:rsidRDefault="00745844" w:rsidP="00745844">
      <w:pPr>
        <w:keepNext/>
        <w:keepLines/>
        <w:spacing w:before="300" w:after="300" w:line="280" w:lineRule="exact"/>
        <w:outlineLvl w:val="3"/>
        <w:rPr>
          <w:rFonts w:ascii="宋体" w:eastAsia="宋体" w:hAnsi="宋体" w:cs="宋体"/>
          <w:b/>
          <w:bCs/>
          <w:szCs w:val="21"/>
        </w:rPr>
      </w:pPr>
      <w:bookmarkStart w:id="421" w:name="_Toc989305"/>
      <w:r>
        <w:rPr>
          <w:rFonts w:ascii="宋体" w:eastAsia="宋体" w:hAnsi="宋体" w:cs="宋体" w:hint="eastAsia"/>
          <w:b/>
          <w:bCs/>
          <w:szCs w:val="21"/>
        </w:rPr>
        <w:lastRenderedPageBreak/>
        <w:t>（2） 报告分部的财务信息</w:t>
      </w:r>
      <w:bookmarkEnd w:id="421"/>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1020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3"/>
        <w:gridCol w:w="1479"/>
        <w:gridCol w:w="1497"/>
        <w:gridCol w:w="1560"/>
        <w:gridCol w:w="1417"/>
        <w:gridCol w:w="1590"/>
        <w:gridCol w:w="1670"/>
      </w:tblGrid>
      <w:tr w:rsidR="00745844" w:rsidRPr="006F2213" w:rsidTr="006F2213">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Pr="006F2213" w:rsidRDefault="00745844" w:rsidP="006F2213">
            <w:pPr>
              <w:spacing w:before="40" w:after="40" w:line="280" w:lineRule="exact"/>
              <w:jc w:val="center"/>
              <w:rPr>
                <w:rFonts w:ascii="宋体" w:eastAsia="宋体" w:hAnsi="宋体" w:cs="宋体"/>
                <w:sz w:val="18"/>
                <w:szCs w:val="18"/>
              </w:rPr>
            </w:pPr>
            <w:r w:rsidRPr="006F2213">
              <w:rPr>
                <w:rFonts w:ascii="宋体" w:eastAsia="宋体" w:hAnsi="宋体" w:cs="宋体" w:hint="eastAsia"/>
                <w:sz w:val="18"/>
                <w:szCs w:val="18"/>
              </w:rPr>
              <w:t>项目</w:t>
            </w:r>
          </w:p>
        </w:tc>
        <w:tc>
          <w:tcPr>
            <w:tcW w:w="1479" w:type="dxa"/>
            <w:tcBorders>
              <w:top w:val="single" w:sz="2" w:space="0" w:color="auto"/>
              <w:left w:val="single" w:sz="2" w:space="0" w:color="auto"/>
              <w:bottom w:val="single" w:sz="2" w:space="0" w:color="auto"/>
              <w:right w:val="single" w:sz="2" w:space="0" w:color="auto"/>
            </w:tcBorders>
            <w:vAlign w:val="center"/>
            <w:hideMark/>
          </w:tcPr>
          <w:p w:rsidR="00745844" w:rsidRPr="006F2213" w:rsidRDefault="00745844" w:rsidP="006F2213">
            <w:pPr>
              <w:spacing w:line="280" w:lineRule="exact"/>
              <w:jc w:val="center"/>
              <w:rPr>
                <w:rFonts w:ascii="宋体" w:eastAsia="宋体" w:hAnsi="宋体" w:cs="宋体"/>
                <w:sz w:val="18"/>
                <w:szCs w:val="18"/>
              </w:rPr>
            </w:pPr>
            <w:r w:rsidRPr="006F2213">
              <w:rPr>
                <w:rFonts w:ascii="宋体" w:eastAsia="宋体" w:hAnsi="宋体" w:cs="宋体" w:hint="eastAsia"/>
                <w:sz w:val="18"/>
                <w:szCs w:val="18"/>
              </w:rPr>
              <w:t>电源及相关产品分部</w:t>
            </w:r>
          </w:p>
        </w:tc>
        <w:tc>
          <w:tcPr>
            <w:tcW w:w="1497" w:type="dxa"/>
            <w:tcBorders>
              <w:top w:val="single" w:sz="2" w:space="0" w:color="auto"/>
              <w:left w:val="single" w:sz="2" w:space="0" w:color="auto"/>
              <w:bottom w:val="single" w:sz="2" w:space="0" w:color="auto"/>
              <w:right w:val="single" w:sz="2" w:space="0" w:color="auto"/>
            </w:tcBorders>
            <w:vAlign w:val="center"/>
            <w:hideMark/>
          </w:tcPr>
          <w:p w:rsidR="00745844" w:rsidRPr="006F2213" w:rsidRDefault="00745844" w:rsidP="006F2213">
            <w:pPr>
              <w:spacing w:line="280" w:lineRule="exact"/>
              <w:jc w:val="center"/>
              <w:rPr>
                <w:rFonts w:ascii="宋体" w:eastAsia="宋体" w:hAnsi="宋体" w:cs="宋体"/>
                <w:sz w:val="18"/>
                <w:szCs w:val="18"/>
              </w:rPr>
            </w:pPr>
            <w:r w:rsidRPr="006F2213">
              <w:rPr>
                <w:rFonts w:ascii="宋体" w:eastAsia="宋体" w:hAnsi="宋体" w:cs="宋体" w:hint="eastAsia"/>
                <w:sz w:val="18"/>
                <w:szCs w:val="18"/>
              </w:rPr>
              <w:t>高性能</w:t>
            </w:r>
            <w:proofErr w:type="gramStart"/>
            <w:r w:rsidRPr="006F2213">
              <w:rPr>
                <w:rFonts w:ascii="宋体" w:eastAsia="宋体" w:hAnsi="宋体" w:cs="宋体" w:hint="eastAsia"/>
                <w:sz w:val="18"/>
                <w:szCs w:val="18"/>
              </w:rPr>
              <w:t>钨</w:t>
            </w:r>
            <w:proofErr w:type="gramEnd"/>
            <w:r w:rsidRPr="006F2213">
              <w:rPr>
                <w:rFonts w:ascii="宋体" w:eastAsia="宋体" w:hAnsi="宋体" w:cs="宋体" w:hint="eastAsia"/>
                <w:sz w:val="18"/>
                <w:szCs w:val="18"/>
              </w:rPr>
              <w:t>合金制品分部</w:t>
            </w:r>
          </w:p>
        </w:tc>
        <w:tc>
          <w:tcPr>
            <w:tcW w:w="1560" w:type="dxa"/>
            <w:tcBorders>
              <w:top w:val="single" w:sz="2" w:space="0" w:color="auto"/>
              <w:left w:val="single" w:sz="2" w:space="0" w:color="auto"/>
              <w:bottom w:val="single" w:sz="2" w:space="0" w:color="auto"/>
              <w:right w:val="single" w:sz="2" w:space="0" w:color="auto"/>
            </w:tcBorders>
            <w:vAlign w:val="center"/>
            <w:hideMark/>
          </w:tcPr>
          <w:p w:rsidR="00745844" w:rsidRPr="006F2213" w:rsidRDefault="00745844" w:rsidP="006F2213">
            <w:pPr>
              <w:spacing w:line="280" w:lineRule="exact"/>
              <w:jc w:val="center"/>
              <w:rPr>
                <w:rFonts w:ascii="宋体" w:eastAsia="宋体" w:hAnsi="宋体" w:cs="宋体"/>
                <w:sz w:val="18"/>
                <w:szCs w:val="18"/>
              </w:rPr>
            </w:pPr>
            <w:r w:rsidRPr="006F2213">
              <w:rPr>
                <w:rFonts w:ascii="宋体" w:eastAsia="宋体" w:hAnsi="宋体" w:cs="宋体" w:hint="eastAsia"/>
                <w:sz w:val="18"/>
                <w:szCs w:val="18"/>
              </w:rPr>
              <w:t>高性能非晶合金制品分部</w:t>
            </w:r>
          </w:p>
        </w:tc>
        <w:tc>
          <w:tcPr>
            <w:tcW w:w="1417" w:type="dxa"/>
            <w:tcBorders>
              <w:top w:val="single" w:sz="2" w:space="0" w:color="auto"/>
              <w:left w:val="single" w:sz="2" w:space="0" w:color="auto"/>
              <w:bottom w:val="single" w:sz="2" w:space="0" w:color="auto"/>
              <w:right w:val="single" w:sz="2" w:space="0" w:color="auto"/>
            </w:tcBorders>
            <w:vAlign w:val="center"/>
            <w:hideMark/>
          </w:tcPr>
          <w:p w:rsidR="00745844" w:rsidRPr="006F2213" w:rsidRDefault="00745844" w:rsidP="006F2213">
            <w:pPr>
              <w:spacing w:line="280" w:lineRule="exact"/>
              <w:jc w:val="center"/>
              <w:rPr>
                <w:rFonts w:ascii="宋体" w:eastAsia="宋体" w:hAnsi="宋体" w:cs="宋体"/>
                <w:sz w:val="18"/>
                <w:szCs w:val="18"/>
              </w:rPr>
            </w:pPr>
            <w:r w:rsidRPr="006F2213">
              <w:rPr>
                <w:rFonts w:ascii="宋体" w:eastAsia="宋体" w:hAnsi="宋体" w:cs="宋体" w:hint="eastAsia"/>
                <w:sz w:val="18"/>
                <w:szCs w:val="18"/>
              </w:rPr>
              <w:t>其他分部</w:t>
            </w:r>
          </w:p>
        </w:tc>
        <w:tc>
          <w:tcPr>
            <w:tcW w:w="159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Pr="006F2213" w:rsidRDefault="00745844" w:rsidP="006F2213">
            <w:pPr>
              <w:spacing w:before="40" w:after="40" w:line="280" w:lineRule="exact"/>
              <w:jc w:val="center"/>
              <w:rPr>
                <w:rFonts w:ascii="宋体" w:eastAsia="宋体" w:hAnsi="宋体" w:cs="宋体"/>
                <w:sz w:val="18"/>
                <w:szCs w:val="18"/>
              </w:rPr>
            </w:pPr>
            <w:r w:rsidRPr="006F2213">
              <w:rPr>
                <w:rFonts w:ascii="宋体" w:eastAsia="宋体" w:hAnsi="宋体" w:cs="宋体" w:hint="eastAsia"/>
                <w:sz w:val="18"/>
                <w:szCs w:val="18"/>
              </w:rPr>
              <w:t>分部间</w:t>
            </w:r>
            <w:proofErr w:type="gramStart"/>
            <w:r w:rsidRPr="006F2213">
              <w:rPr>
                <w:rFonts w:ascii="宋体" w:eastAsia="宋体" w:hAnsi="宋体" w:cs="宋体" w:hint="eastAsia"/>
                <w:sz w:val="18"/>
                <w:szCs w:val="18"/>
              </w:rPr>
              <w:t>抵销</w:t>
            </w:r>
            <w:proofErr w:type="gramEnd"/>
          </w:p>
        </w:tc>
        <w:tc>
          <w:tcPr>
            <w:tcW w:w="167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Pr="006F2213" w:rsidRDefault="00745844" w:rsidP="006F2213">
            <w:pPr>
              <w:spacing w:before="40" w:after="40" w:line="280" w:lineRule="exact"/>
              <w:jc w:val="center"/>
              <w:rPr>
                <w:rFonts w:ascii="宋体" w:eastAsia="宋体" w:hAnsi="宋体" w:cs="宋体"/>
                <w:sz w:val="18"/>
                <w:szCs w:val="18"/>
              </w:rPr>
            </w:pPr>
            <w:r w:rsidRPr="006F2213">
              <w:rPr>
                <w:rFonts w:ascii="宋体" w:eastAsia="宋体" w:hAnsi="宋体" w:cs="宋体" w:hint="eastAsia"/>
                <w:sz w:val="18"/>
                <w:szCs w:val="18"/>
              </w:rPr>
              <w:t>合计</w:t>
            </w:r>
          </w:p>
        </w:tc>
      </w:tr>
      <w:tr w:rsidR="006F2213" w:rsidRPr="006F2213" w:rsidTr="006F2213">
        <w:trPr>
          <w:trHeight w:val="240"/>
        </w:trPr>
        <w:tc>
          <w:tcPr>
            <w:tcW w:w="993"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rPr>
                <w:rFonts w:ascii="宋体" w:eastAsia="宋体" w:hAnsi="宋体" w:cs="宋体"/>
                <w:sz w:val="18"/>
                <w:szCs w:val="18"/>
              </w:rPr>
            </w:pPr>
            <w:r w:rsidRPr="006F2213">
              <w:rPr>
                <w:rFonts w:ascii="宋体" w:eastAsia="宋体" w:hAnsi="宋体" w:cs="宋体" w:hint="eastAsia"/>
                <w:sz w:val="18"/>
                <w:szCs w:val="18"/>
              </w:rPr>
              <w:t>营业收入</w:t>
            </w:r>
          </w:p>
        </w:tc>
        <w:tc>
          <w:tcPr>
            <w:tcW w:w="1479"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256,201,254.53</w:t>
            </w:r>
          </w:p>
        </w:tc>
        <w:tc>
          <w:tcPr>
            <w:tcW w:w="1497"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127,163,039.22</w:t>
            </w:r>
          </w:p>
        </w:tc>
        <w:tc>
          <w:tcPr>
            <w:tcW w:w="156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9,569,237.38</w:t>
            </w:r>
          </w:p>
        </w:tc>
        <w:tc>
          <w:tcPr>
            <w:tcW w:w="1417"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3,806,653.41</w:t>
            </w:r>
          </w:p>
        </w:tc>
        <w:tc>
          <w:tcPr>
            <w:tcW w:w="159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-451,572.02</w:t>
            </w:r>
          </w:p>
        </w:tc>
        <w:tc>
          <w:tcPr>
            <w:tcW w:w="167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396,288,612.52</w:t>
            </w:r>
          </w:p>
        </w:tc>
      </w:tr>
      <w:tr w:rsidR="006F2213" w:rsidRPr="006F2213" w:rsidTr="006F2213">
        <w:trPr>
          <w:trHeight w:val="240"/>
        </w:trPr>
        <w:tc>
          <w:tcPr>
            <w:tcW w:w="993"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rPr>
                <w:rFonts w:ascii="宋体" w:eastAsia="宋体" w:hAnsi="宋体" w:cs="宋体"/>
                <w:sz w:val="18"/>
                <w:szCs w:val="18"/>
              </w:rPr>
            </w:pPr>
            <w:r w:rsidRPr="006F2213">
              <w:rPr>
                <w:rFonts w:ascii="宋体" w:eastAsia="宋体" w:hAnsi="宋体" w:cs="宋体" w:hint="eastAsia"/>
                <w:sz w:val="18"/>
                <w:szCs w:val="18"/>
              </w:rPr>
              <w:t>营业成本</w:t>
            </w:r>
          </w:p>
        </w:tc>
        <w:tc>
          <w:tcPr>
            <w:tcW w:w="1479"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86,599,592.70</w:t>
            </w:r>
          </w:p>
        </w:tc>
        <w:tc>
          <w:tcPr>
            <w:tcW w:w="1497"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92,336,490.86</w:t>
            </w:r>
          </w:p>
        </w:tc>
        <w:tc>
          <w:tcPr>
            <w:tcW w:w="156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7,321,453.59</w:t>
            </w:r>
          </w:p>
        </w:tc>
        <w:tc>
          <w:tcPr>
            <w:tcW w:w="1417"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1,413,912.18</w:t>
            </w:r>
          </w:p>
        </w:tc>
        <w:tc>
          <w:tcPr>
            <w:tcW w:w="159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-105,037.37</w:t>
            </w:r>
          </w:p>
        </w:tc>
        <w:tc>
          <w:tcPr>
            <w:tcW w:w="167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187,566,411.96</w:t>
            </w:r>
          </w:p>
        </w:tc>
      </w:tr>
      <w:tr w:rsidR="006F2213" w:rsidRPr="006F2213" w:rsidTr="006F2213">
        <w:trPr>
          <w:trHeight w:val="240"/>
        </w:trPr>
        <w:tc>
          <w:tcPr>
            <w:tcW w:w="993"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rPr>
                <w:rFonts w:ascii="宋体" w:eastAsia="宋体" w:hAnsi="宋体" w:cs="宋体"/>
                <w:sz w:val="18"/>
                <w:szCs w:val="18"/>
              </w:rPr>
            </w:pPr>
            <w:r w:rsidRPr="006F2213">
              <w:rPr>
                <w:rFonts w:ascii="宋体" w:eastAsia="宋体" w:hAnsi="宋体" w:cs="宋体" w:hint="eastAsia"/>
                <w:sz w:val="18"/>
                <w:szCs w:val="18"/>
              </w:rPr>
              <w:t>销售费用</w:t>
            </w:r>
          </w:p>
        </w:tc>
        <w:tc>
          <w:tcPr>
            <w:tcW w:w="1479"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22,803,998.11</w:t>
            </w:r>
          </w:p>
        </w:tc>
        <w:tc>
          <w:tcPr>
            <w:tcW w:w="1497" w:type="dxa"/>
            <w:tcBorders>
              <w:top w:val="single" w:sz="2" w:space="0" w:color="auto"/>
              <w:left w:val="single" w:sz="2" w:space="0" w:color="auto"/>
              <w:bottom w:val="single" w:sz="2" w:space="0" w:color="auto"/>
              <w:right w:val="single" w:sz="2" w:space="0" w:color="auto"/>
            </w:tcBorders>
            <w:vAlign w:val="center"/>
          </w:tcPr>
          <w:p w:rsidR="006F2213" w:rsidRPr="006F2213" w:rsidRDefault="006F2213" w:rsidP="006F2213">
            <w:pPr>
              <w:spacing w:line="28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234,992.80</w:t>
            </w:r>
          </w:p>
        </w:tc>
        <w:tc>
          <w:tcPr>
            <w:tcW w:w="1417" w:type="dxa"/>
            <w:tcBorders>
              <w:top w:val="single" w:sz="2" w:space="0" w:color="auto"/>
              <w:left w:val="single" w:sz="2" w:space="0" w:color="auto"/>
              <w:bottom w:val="single" w:sz="2" w:space="0" w:color="auto"/>
              <w:right w:val="single" w:sz="2" w:space="0" w:color="auto"/>
            </w:tcBorders>
            <w:vAlign w:val="center"/>
          </w:tcPr>
          <w:p w:rsidR="006F2213" w:rsidRPr="006F2213" w:rsidRDefault="006F2213" w:rsidP="006F2213">
            <w:pPr>
              <w:spacing w:line="280" w:lineRule="exact"/>
              <w:jc w:val="right"/>
              <w:rPr>
                <w:rFonts w:ascii="宋体" w:eastAsia="宋体" w:hAnsi="宋体" w:cs="宋体"/>
                <w:sz w:val="18"/>
                <w:szCs w:val="18"/>
              </w:rPr>
            </w:pPr>
          </w:p>
        </w:tc>
        <w:tc>
          <w:tcPr>
            <w:tcW w:w="1590" w:type="dxa"/>
            <w:tcBorders>
              <w:top w:val="single" w:sz="2" w:space="0" w:color="auto"/>
              <w:left w:val="single" w:sz="2" w:space="0" w:color="auto"/>
              <w:bottom w:val="single" w:sz="2" w:space="0" w:color="auto"/>
              <w:right w:val="single" w:sz="2" w:space="0" w:color="auto"/>
            </w:tcBorders>
            <w:vAlign w:val="center"/>
          </w:tcPr>
          <w:p w:rsidR="006F2213" w:rsidRPr="006F2213" w:rsidRDefault="006F2213" w:rsidP="006F2213">
            <w:pPr>
              <w:spacing w:line="280" w:lineRule="exact"/>
              <w:jc w:val="right"/>
              <w:rPr>
                <w:rFonts w:ascii="宋体" w:eastAsia="宋体" w:hAnsi="宋体" w:cs="宋体"/>
                <w:sz w:val="18"/>
                <w:szCs w:val="18"/>
              </w:rPr>
            </w:pPr>
          </w:p>
        </w:tc>
        <w:tc>
          <w:tcPr>
            <w:tcW w:w="167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23,038,990.91</w:t>
            </w:r>
          </w:p>
        </w:tc>
      </w:tr>
      <w:tr w:rsidR="006F2213" w:rsidRPr="006F2213" w:rsidTr="006F2213">
        <w:trPr>
          <w:trHeight w:val="240"/>
        </w:trPr>
        <w:tc>
          <w:tcPr>
            <w:tcW w:w="993"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rPr>
                <w:rFonts w:ascii="宋体" w:eastAsia="宋体" w:hAnsi="宋体" w:cs="宋体"/>
                <w:sz w:val="18"/>
                <w:szCs w:val="18"/>
              </w:rPr>
            </w:pPr>
            <w:r w:rsidRPr="006F2213">
              <w:rPr>
                <w:rFonts w:ascii="宋体" w:eastAsia="宋体" w:hAnsi="宋体" w:cs="宋体" w:hint="eastAsia"/>
                <w:sz w:val="18"/>
                <w:szCs w:val="18"/>
              </w:rPr>
              <w:t>管理费用</w:t>
            </w:r>
          </w:p>
        </w:tc>
        <w:tc>
          <w:tcPr>
            <w:tcW w:w="1479"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25,092,415.82</w:t>
            </w:r>
          </w:p>
        </w:tc>
        <w:tc>
          <w:tcPr>
            <w:tcW w:w="1497"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5,202,946.55</w:t>
            </w:r>
          </w:p>
        </w:tc>
        <w:tc>
          <w:tcPr>
            <w:tcW w:w="156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4,950,796.65</w:t>
            </w:r>
          </w:p>
        </w:tc>
        <w:tc>
          <w:tcPr>
            <w:tcW w:w="1417"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25,222,796.05</w:t>
            </w:r>
          </w:p>
        </w:tc>
        <w:tc>
          <w:tcPr>
            <w:tcW w:w="159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p>
        </w:tc>
        <w:tc>
          <w:tcPr>
            <w:tcW w:w="167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 xml:space="preserve">60,468,955.07  </w:t>
            </w:r>
          </w:p>
        </w:tc>
      </w:tr>
      <w:tr w:rsidR="006F2213" w:rsidRPr="006F2213" w:rsidTr="006F2213">
        <w:trPr>
          <w:trHeight w:val="240"/>
        </w:trPr>
        <w:tc>
          <w:tcPr>
            <w:tcW w:w="993"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rPr>
                <w:rFonts w:ascii="宋体" w:eastAsia="宋体" w:hAnsi="宋体" w:cs="宋体"/>
                <w:sz w:val="18"/>
                <w:szCs w:val="18"/>
              </w:rPr>
            </w:pPr>
            <w:r w:rsidRPr="006F2213">
              <w:rPr>
                <w:rFonts w:ascii="宋体" w:eastAsia="宋体" w:hAnsi="宋体" w:cs="宋体" w:hint="eastAsia"/>
                <w:sz w:val="18"/>
                <w:szCs w:val="18"/>
              </w:rPr>
              <w:t>研发费用</w:t>
            </w:r>
          </w:p>
        </w:tc>
        <w:tc>
          <w:tcPr>
            <w:tcW w:w="1479"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79,873,637.50</w:t>
            </w:r>
          </w:p>
        </w:tc>
        <w:tc>
          <w:tcPr>
            <w:tcW w:w="1497"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5,831,893.23</w:t>
            </w:r>
          </w:p>
        </w:tc>
        <w:tc>
          <w:tcPr>
            <w:tcW w:w="156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9,723,553.37</w:t>
            </w:r>
          </w:p>
        </w:tc>
        <w:tc>
          <w:tcPr>
            <w:tcW w:w="1417" w:type="dxa"/>
            <w:tcBorders>
              <w:top w:val="single" w:sz="2" w:space="0" w:color="auto"/>
              <w:left w:val="single" w:sz="2" w:space="0" w:color="auto"/>
              <w:bottom w:val="single" w:sz="2" w:space="0" w:color="auto"/>
              <w:right w:val="single" w:sz="2" w:space="0" w:color="auto"/>
            </w:tcBorders>
            <w:vAlign w:val="center"/>
          </w:tcPr>
          <w:p w:rsidR="006F2213" w:rsidRPr="006F2213" w:rsidRDefault="006F2213" w:rsidP="006F2213">
            <w:pPr>
              <w:spacing w:line="280" w:lineRule="exact"/>
              <w:jc w:val="right"/>
              <w:rPr>
                <w:rFonts w:ascii="宋体" w:eastAsia="宋体" w:hAnsi="宋体" w:cs="宋体"/>
                <w:sz w:val="18"/>
                <w:szCs w:val="18"/>
              </w:rPr>
            </w:pPr>
          </w:p>
        </w:tc>
        <w:tc>
          <w:tcPr>
            <w:tcW w:w="159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-346,534.65</w:t>
            </w:r>
          </w:p>
        </w:tc>
        <w:tc>
          <w:tcPr>
            <w:tcW w:w="167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95,082,549.45</w:t>
            </w:r>
          </w:p>
        </w:tc>
      </w:tr>
      <w:tr w:rsidR="006F2213" w:rsidRPr="006F2213" w:rsidTr="006F2213">
        <w:trPr>
          <w:trHeight w:val="240"/>
        </w:trPr>
        <w:tc>
          <w:tcPr>
            <w:tcW w:w="993"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rPr>
                <w:rFonts w:ascii="宋体" w:eastAsia="宋体" w:hAnsi="宋体" w:cs="宋体"/>
                <w:sz w:val="18"/>
                <w:szCs w:val="18"/>
              </w:rPr>
            </w:pPr>
            <w:r w:rsidRPr="006F2213">
              <w:rPr>
                <w:rFonts w:ascii="宋体" w:eastAsia="宋体" w:hAnsi="宋体" w:cs="宋体" w:hint="eastAsia"/>
                <w:sz w:val="18"/>
                <w:szCs w:val="18"/>
              </w:rPr>
              <w:t>利润总额</w:t>
            </w:r>
          </w:p>
        </w:tc>
        <w:tc>
          <w:tcPr>
            <w:tcW w:w="1479"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36,358,627.75</w:t>
            </w:r>
          </w:p>
        </w:tc>
        <w:tc>
          <w:tcPr>
            <w:tcW w:w="1497"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23,797,154.59</w:t>
            </w:r>
          </w:p>
        </w:tc>
        <w:tc>
          <w:tcPr>
            <w:tcW w:w="156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-11,958,060.75</w:t>
            </w:r>
          </w:p>
        </w:tc>
        <w:tc>
          <w:tcPr>
            <w:tcW w:w="1417"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9,490,407.35</w:t>
            </w:r>
          </w:p>
        </w:tc>
        <w:tc>
          <w:tcPr>
            <w:tcW w:w="159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-39,819,616.50</w:t>
            </w:r>
          </w:p>
        </w:tc>
        <w:tc>
          <w:tcPr>
            <w:tcW w:w="167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 xml:space="preserve">17,868,512.44  </w:t>
            </w:r>
          </w:p>
        </w:tc>
      </w:tr>
      <w:tr w:rsidR="006F2213" w:rsidRPr="006F2213" w:rsidTr="006F2213">
        <w:trPr>
          <w:trHeight w:val="240"/>
        </w:trPr>
        <w:tc>
          <w:tcPr>
            <w:tcW w:w="993"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rPr>
                <w:rFonts w:ascii="宋体" w:eastAsia="宋体" w:hAnsi="宋体" w:cs="宋体"/>
                <w:sz w:val="18"/>
                <w:szCs w:val="18"/>
              </w:rPr>
            </w:pPr>
            <w:r w:rsidRPr="006F2213">
              <w:rPr>
                <w:rFonts w:ascii="宋体" w:eastAsia="宋体" w:hAnsi="宋体" w:cs="宋体" w:hint="eastAsia"/>
                <w:sz w:val="18"/>
                <w:szCs w:val="18"/>
              </w:rPr>
              <w:t>资产总额</w:t>
            </w:r>
          </w:p>
        </w:tc>
        <w:tc>
          <w:tcPr>
            <w:tcW w:w="1479"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614,519,792.03</w:t>
            </w:r>
          </w:p>
        </w:tc>
        <w:tc>
          <w:tcPr>
            <w:tcW w:w="1497"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134,421,772.30</w:t>
            </w:r>
          </w:p>
        </w:tc>
        <w:tc>
          <w:tcPr>
            <w:tcW w:w="156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74,370,210.54</w:t>
            </w:r>
          </w:p>
        </w:tc>
        <w:tc>
          <w:tcPr>
            <w:tcW w:w="1417"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1,578,108,527.03</w:t>
            </w:r>
          </w:p>
        </w:tc>
        <w:tc>
          <w:tcPr>
            <w:tcW w:w="159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-557,079,408.12</w:t>
            </w:r>
          </w:p>
        </w:tc>
        <w:tc>
          <w:tcPr>
            <w:tcW w:w="167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 xml:space="preserve">1,844,340,893.78  </w:t>
            </w:r>
          </w:p>
        </w:tc>
      </w:tr>
      <w:tr w:rsidR="006F2213" w:rsidRPr="006F2213" w:rsidTr="006F2213">
        <w:trPr>
          <w:trHeight w:val="240"/>
        </w:trPr>
        <w:tc>
          <w:tcPr>
            <w:tcW w:w="993"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rPr>
                <w:rFonts w:ascii="宋体" w:eastAsia="宋体" w:hAnsi="宋体" w:cs="宋体"/>
                <w:sz w:val="18"/>
                <w:szCs w:val="18"/>
              </w:rPr>
            </w:pPr>
            <w:r w:rsidRPr="006F2213">
              <w:rPr>
                <w:rFonts w:ascii="宋体" w:eastAsia="宋体" w:hAnsi="宋体" w:cs="宋体" w:hint="eastAsia"/>
                <w:sz w:val="18"/>
                <w:szCs w:val="18"/>
              </w:rPr>
              <w:t>负债总额</w:t>
            </w:r>
          </w:p>
        </w:tc>
        <w:tc>
          <w:tcPr>
            <w:tcW w:w="1479"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156,817,062.47</w:t>
            </w:r>
          </w:p>
        </w:tc>
        <w:tc>
          <w:tcPr>
            <w:tcW w:w="1497"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23,487,846.39</w:t>
            </w:r>
          </w:p>
        </w:tc>
        <w:tc>
          <w:tcPr>
            <w:tcW w:w="156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52,665,447.42</w:t>
            </w:r>
          </w:p>
        </w:tc>
        <w:tc>
          <w:tcPr>
            <w:tcW w:w="1417"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 xml:space="preserve">27,734,274.54  </w:t>
            </w:r>
          </w:p>
        </w:tc>
        <w:tc>
          <w:tcPr>
            <w:tcW w:w="159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hint="eastAsia"/>
                <w:sz w:val="18"/>
                <w:szCs w:val="18"/>
              </w:rPr>
              <w:t>-48,759,191.24</w:t>
            </w:r>
          </w:p>
        </w:tc>
        <w:tc>
          <w:tcPr>
            <w:tcW w:w="1670" w:type="dxa"/>
            <w:tcBorders>
              <w:top w:val="single" w:sz="2" w:space="0" w:color="auto"/>
              <w:left w:val="single" w:sz="2" w:space="0" w:color="auto"/>
              <w:bottom w:val="single" w:sz="2" w:space="0" w:color="auto"/>
              <w:right w:val="single" w:sz="2" w:space="0" w:color="auto"/>
            </w:tcBorders>
            <w:vAlign w:val="center"/>
            <w:hideMark/>
          </w:tcPr>
          <w:p w:rsidR="006F2213" w:rsidRPr="006F2213" w:rsidRDefault="006F2213" w:rsidP="006F2213">
            <w:pPr>
              <w:spacing w:line="280" w:lineRule="exact"/>
              <w:jc w:val="right"/>
              <w:rPr>
                <w:rFonts w:ascii="宋体" w:eastAsia="宋体" w:hAnsi="宋体" w:cs="宋体"/>
                <w:sz w:val="18"/>
                <w:szCs w:val="18"/>
              </w:rPr>
            </w:pPr>
            <w:r w:rsidRPr="006F2213">
              <w:rPr>
                <w:rFonts w:ascii="宋体" w:eastAsia="宋体" w:hAnsi="宋体" w:cs="宋体"/>
                <w:sz w:val="18"/>
                <w:szCs w:val="18"/>
              </w:rPr>
              <w:t xml:space="preserve">211,945,439.58  </w:t>
            </w:r>
          </w:p>
        </w:tc>
      </w:tr>
    </w:tbl>
    <w:p w:rsidR="00745844" w:rsidRDefault="00745844" w:rsidP="00745844">
      <w:pPr>
        <w:pStyle w:val="3"/>
        <w:spacing w:line="280" w:lineRule="exact"/>
        <w:jc w:val="left"/>
        <w:rPr>
          <w:rFonts w:ascii="宋体" w:hAnsi="宋体" w:cs="宋体"/>
          <w:b/>
          <w:bCs/>
        </w:rPr>
      </w:pPr>
      <w:bookmarkStart w:id="422" w:name="_Toc989306"/>
      <w:r>
        <w:rPr>
          <w:rFonts w:ascii="宋体" w:hAnsi="宋体" w:cs="宋体" w:hint="eastAsia"/>
          <w:b/>
          <w:bCs/>
        </w:rPr>
        <w:t>6、其他对投资者决策有影响的重要交易和事项</w:t>
      </w:r>
      <w:bookmarkEnd w:id="422"/>
    </w:p>
    <w:p w:rsidR="00745844" w:rsidRDefault="00745844" w:rsidP="00CE6C6C">
      <w:pPr>
        <w:pStyle w:val="a3"/>
        <w:spacing w:before="0" w:beforeAutospacing="0" w:after="0" w:afterAutospacing="0" w:line="360" w:lineRule="auto"/>
        <w:ind w:firstLine="420"/>
        <w:jc w:val="both"/>
        <w:rPr>
          <w:sz w:val="21"/>
          <w:szCs w:val="21"/>
        </w:rPr>
      </w:pPr>
      <w:r w:rsidRPr="00CE6C6C">
        <w:rPr>
          <w:rFonts w:cs="Times New Roman" w:hint="eastAsia"/>
          <w:snapToGrid w:val="0"/>
          <w:color w:val="000000"/>
          <w:sz w:val="21"/>
          <w:szCs w:val="21"/>
        </w:rPr>
        <w:t>除上述事项外，无其他需披露的其他对投资者决策有影响的重要交易和事项。</w:t>
      </w:r>
    </w:p>
    <w:p w:rsidR="00745844" w:rsidRDefault="00745844" w:rsidP="00745844">
      <w:pPr>
        <w:pStyle w:val="2"/>
        <w:spacing w:before="300" w:after="300" w:line="320" w:lineRule="exact"/>
        <w:rPr>
          <w:rFonts w:ascii="宋体" w:eastAsia="宋体" w:hAnsi="宋体" w:cs="宋体"/>
          <w:b/>
          <w:bCs/>
          <w:sz w:val="24"/>
          <w:szCs w:val="24"/>
        </w:rPr>
      </w:pPr>
      <w:bookmarkStart w:id="423" w:name="_Toc989307"/>
      <w:r>
        <w:rPr>
          <w:rFonts w:ascii="宋体" w:eastAsia="宋体" w:hAnsi="宋体" w:cs="宋体" w:hint="eastAsia"/>
          <w:b/>
          <w:bCs/>
          <w:sz w:val="24"/>
          <w:szCs w:val="24"/>
        </w:rPr>
        <w:t>十九、母公司财务报表主要项目注释</w:t>
      </w:r>
      <w:bookmarkEnd w:id="423"/>
    </w:p>
    <w:p w:rsidR="00745844" w:rsidRDefault="00745844" w:rsidP="00745844">
      <w:pPr>
        <w:pStyle w:val="3"/>
        <w:spacing w:line="280" w:lineRule="exact"/>
        <w:jc w:val="left"/>
        <w:rPr>
          <w:rFonts w:ascii="宋体" w:hAnsi="宋体" w:cs="宋体"/>
          <w:b/>
          <w:bCs/>
        </w:rPr>
      </w:pPr>
      <w:bookmarkStart w:id="424" w:name="_Toc989308"/>
      <w:r>
        <w:rPr>
          <w:rFonts w:ascii="宋体" w:hAnsi="宋体" w:cs="宋体" w:hint="eastAsia"/>
          <w:b/>
          <w:bCs/>
        </w:rPr>
        <w:t>1、应收账款</w:t>
      </w:r>
      <w:bookmarkEnd w:id="424"/>
    </w:p>
    <w:p w:rsidR="00745844" w:rsidRDefault="00745844" w:rsidP="00745844">
      <w:pPr>
        <w:keepNext/>
        <w:keepLines/>
        <w:spacing w:before="300" w:after="300" w:line="280" w:lineRule="exact"/>
        <w:outlineLvl w:val="3"/>
        <w:rPr>
          <w:rFonts w:ascii="宋体" w:eastAsia="宋体" w:hAnsi="宋体" w:cs="宋体"/>
          <w:b/>
          <w:bCs/>
          <w:szCs w:val="21"/>
        </w:rPr>
      </w:pPr>
      <w:bookmarkStart w:id="425" w:name="_Toc989309"/>
      <w:r>
        <w:rPr>
          <w:rFonts w:ascii="宋体" w:eastAsia="宋体" w:hAnsi="宋体" w:cs="宋体" w:hint="eastAsia"/>
          <w:b/>
          <w:bCs/>
          <w:szCs w:val="21"/>
        </w:rPr>
        <w:t xml:space="preserve">（1） </w:t>
      </w:r>
      <w:proofErr w:type="gramStart"/>
      <w:r>
        <w:rPr>
          <w:rFonts w:ascii="宋体" w:eastAsia="宋体" w:hAnsi="宋体" w:cs="宋体" w:hint="eastAsia"/>
          <w:b/>
          <w:bCs/>
          <w:szCs w:val="21"/>
        </w:rPr>
        <w:t>按账龄</w:t>
      </w:r>
      <w:proofErr w:type="gramEnd"/>
      <w:r>
        <w:rPr>
          <w:rFonts w:ascii="宋体" w:eastAsia="宋体" w:hAnsi="宋体" w:cs="宋体" w:hint="eastAsia"/>
          <w:b/>
          <w:bCs/>
          <w:szCs w:val="21"/>
        </w:rPr>
        <w:t>披露</w:t>
      </w:r>
      <w:bookmarkEnd w:id="425"/>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5"/>
        <w:gridCol w:w="3215"/>
        <w:gridCol w:w="3215"/>
      </w:tblGrid>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期初账面余额</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ind w:firstLineChars="200" w:firstLine="360"/>
              <w:rPr>
                <w:rFonts w:ascii="宋体" w:eastAsia="宋体" w:hAnsi="宋体" w:cs="宋体"/>
                <w:sz w:val="18"/>
                <w:szCs w:val="18"/>
              </w:rPr>
            </w:pPr>
            <w:r>
              <w:rPr>
                <w:rFonts w:ascii="宋体" w:eastAsia="宋体" w:hAnsi="宋体" w:cs="宋体" w:hint="eastAsia"/>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r>
    </w:tbl>
    <w:p w:rsidR="00745844" w:rsidRDefault="00745844" w:rsidP="00745844">
      <w:pPr>
        <w:keepNext/>
        <w:keepLines/>
        <w:spacing w:before="300" w:after="300" w:line="280" w:lineRule="exact"/>
        <w:outlineLvl w:val="3"/>
        <w:rPr>
          <w:rFonts w:ascii="宋体" w:eastAsia="宋体" w:hAnsi="宋体" w:cs="宋体"/>
          <w:b/>
          <w:bCs/>
          <w:szCs w:val="21"/>
        </w:rPr>
      </w:pPr>
      <w:bookmarkStart w:id="426" w:name="_Toc989310"/>
      <w:r>
        <w:rPr>
          <w:rFonts w:ascii="宋体" w:eastAsia="宋体" w:hAnsi="宋体" w:cs="宋体" w:hint="eastAsia"/>
          <w:b/>
          <w:bCs/>
          <w:szCs w:val="21"/>
        </w:rPr>
        <w:t>（2） 按坏账计提方法分类披露</w:t>
      </w:r>
      <w:bookmarkEnd w:id="426"/>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77"/>
        <w:gridCol w:w="877"/>
        <w:gridCol w:w="878"/>
        <w:gridCol w:w="877"/>
        <w:gridCol w:w="878"/>
        <w:gridCol w:w="876"/>
        <w:gridCol w:w="876"/>
        <w:gridCol w:w="877"/>
        <w:gridCol w:w="876"/>
        <w:gridCol w:w="877"/>
        <w:gridCol w:w="876"/>
      </w:tblGrid>
      <w:tr w:rsidR="00745844" w:rsidTr="00745844">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期初余额</w:t>
            </w:r>
          </w:p>
        </w:tc>
      </w:tr>
      <w:tr w:rsidR="00745844" w:rsidTr="00745844">
        <w:trPr>
          <w:trHeight w:val="240"/>
        </w:trPr>
        <w:tc>
          <w:tcPr>
            <w:tcW w:w="876"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账面价值</w:t>
            </w:r>
          </w:p>
        </w:tc>
      </w:tr>
      <w:tr w:rsidR="00745844" w:rsidTr="00745844">
        <w:trPr>
          <w:trHeight w:val="240"/>
        </w:trPr>
        <w:tc>
          <w:tcPr>
            <w:tcW w:w="876"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ind w:firstLineChars="100" w:firstLine="180"/>
              <w:rPr>
                <w:rFonts w:ascii="宋体" w:eastAsia="宋体" w:hAnsi="宋体" w:cs="宋体"/>
                <w:sz w:val="18"/>
                <w:szCs w:val="18"/>
              </w:rPr>
            </w:pPr>
            <w:r>
              <w:rPr>
                <w:rFonts w:ascii="宋体" w:eastAsia="宋体" w:hAnsi="宋体" w:cs="宋体" w:hint="eastAsia"/>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ind w:firstLineChars="100" w:firstLine="180"/>
              <w:rPr>
                <w:rFonts w:ascii="宋体" w:eastAsia="宋体" w:hAnsi="宋体" w:cs="宋体"/>
                <w:sz w:val="18"/>
                <w:szCs w:val="18"/>
              </w:rPr>
            </w:pPr>
            <w:r>
              <w:rPr>
                <w:rFonts w:ascii="宋体" w:eastAsia="宋体" w:hAnsi="宋体" w:cs="宋体" w:hint="eastAsia"/>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lastRenderedPageBreak/>
              <w:t>1.其他客户</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bl>
    <w:p w:rsidR="00745844" w:rsidRDefault="00745844" w:rsidP="00745844">
      <w:pPr>
        <w:spacing w:line="240" w:lineRule="exact"/>
        <w:rPr>
          <w:rFonts w:ascii="宋体" w:eastAsia="宋体" w:hAnsi="宋体" w:cs="宋体"/>
          <w:sz w:val="18"/>
          <w:szCs w:val="18"/>
        </w:rPr>
      </w:pPr>
      <w:r>
        <w:rPr>
          <w:rFonts w:ascii="宋体" w:eastAsia="宋体" w:hAnsi="宋体" w:cs="宋体" w:hint="eastAsia"/>
          <w:sz w:val="18"/>
          <w:szCs w:val="18"/>
        </w:rPr>
        <w:t>按组合计提坏账准备：其他客户</w:t>
      </w:r>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12"/>
        <w:gridCol w:w="2411"/>
        <w:gridCol w:w="2411"/>
        <w:gridCol w:w="2411"/>
      </w:tblGrid>
      <w:tr w:rsidR="00745844" w:rsidTr="0074584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r>
      <w:tr w:rsidR="00745844" w:rsidTr="00745844">
        <w:trPr>
          <w:trHeight w:val="240"/>
        </w:trPr>
        <w:tc>
          <w:tcPr>
            <w:tcW w:w="2410"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计提比例</w:t>
            </w:r>
          </w:p>
        </w:tc>
      </w:tr>
      <w:tr w:rsidR="00745844" w:rsidTr="00745844">
        <w:trPr>
          <w:trHeight w:val="240"/>
        </w:trPr>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1-2年</w:t>
            </w:r>
          </w:p>
        </w:tc>
        <w:tc>
          <w:tcPr>
            <w:tcW w:w="241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2-3年</w:t>
            </w:r>
          </w:p>
        </w:tc>
        <w:tc>
          <w:tcPr>
            <w:tcW w:w="241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3年以上</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r>
      <w:tr w:rsidR="00745844" w:rsidTr="0074584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r>
    </w:tbl>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如是按照预期信用损失一般模型计提应收账款坏账准备：</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keepNext/>
        <w:keepLines/>
        <w:spacing w:before="300" w:after="300" w:line="280" w:lineRule="exact"/>
        <w:outlineLvl w:val="3"/>
        <w:rPr>
          <w:rFonts w:ascii="宋体" w:eastAsia="宋体" w:hAnsi="宋体" w:cs="宋体"/>
          <w:b/>
          <w:bCs/>
          <w:szCs w:val="21"/>
        </w:rPr>
      </w:pPr>
      <w:bookmarkStart w:id="427" w:name="_Toc989311"/>
      <w:r>
        <w:rPr>
          <w:rFonts w:ascii="宋体" w:eastAsia="宋体" w:hAnsi="宋体" w:cs="宋体" w:hint="eastAsia"/>
          <w:b/>
          <w:bCs/>
          <w:szCs w:val="21"/>
        </w:rPr>
        <w:t>（3） 本期计提、收回或转回的坏账准备情况</w:t>
      </w:r>
      <w:bookmarkEnd w:id="427"/>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本期计提坏账准备情况：</w:t>
      </w:r>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77"/>
        <w:gridCol w:w="1378"/>
        <w:gridCol w:w="1378"/>
        <w:gridCol w:w="1378"/>
        <w:gridCol w:w="1378"/>
        <w:gridCol w:w="1378"/>
        <w:gridCol w:w="1378"/>
      </w:tblGrid>
      <w:tr w:rsidR="00745844" w:rsidTr="0074584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r>
      <w:tr w:rsidR="00745844" w:rsidTr="00745844">
        <w:trPr>
          <w:trHeight w:val="240"/>
        </w:trPr>
        <w:tc>
          <w:tcPr>
            <w:tcW w:w="1377"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其他</w:t>
            </w:r>
          </w:p>
        </w:tc>
        <w:tc>
          <w:tcPr>
            <w:tcW w:w="1378"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r>
      <w:tr w:rsidR="00745844" w:rsidTr="00745844">
        <w:trPr>
          <w:trHeight w:val="240"/>
        </w:trPr>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r>
      <w:tr w:rsidR="00745844" w:rsidTr="0074584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150,384.02</w:t>
            </w:r>
          </w:p>
        </w:tc>
      </w:tr>
    </w:tbl>
    <w:p w:rsidR="00745844" w:rsidRDefault="00745844" w:rsidP="00745844">
      <w:pPr>
        <w:keepNext/>
        <w:keepLines/>
        <w:spacing w:before="300" w:after="300" w:line="280" w:lineRule="exact"/>
        <w:outlineLvl w:val="3"/>
        <w:rPr>
          <w:rFonts w:ascii="宋体" w:eastAsia="宋体" w:hAnsi="宋体" w:cs="宋体"/>
          <w:b/>
          <w:bCs/>
          <w:szCs w:val="21"/>
        </w:rPr>
      </w:pPr>
      <w:bookmarkStart w:id="428" w:name="_Toc989312"/>
      <w:r>
        <w:rPr>
          <w:rFonts w:ascii="宋体" w:eastAsia="宋体" w:hAnsi="宋体" w:cs="宋体" w:hint="eastAsia"/>
          <w:b/>
          <w:bCs/>
          <w:szCs w:val="21"/>
        </w:rPr>
        <w:t>（4） 按欠款方归集的期末余额前五名的应收账款和合同资产情况</w:t>
      </w:r>
      <w:bookmarkEnd w:id="428"/>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07"/>
        <w:gridCol w:w="1607"/>
        <w:gridCol w:w="1607"/>
        <w:gridCol w:w="1608"/>
        <w:gridCol w:w="1608"/>
        <w:gridCol w:w="1608"/>
      </w:tblGrid>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应收账款坏账准备和合同资产减值准备期末余额</w:t>
            </w: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120,412.40</w:t>
            </w: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80.07%</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120,412.40</w:t>
            </w: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16,551.30</w:t>
            </w: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11.01%</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16,551.30</w:t>
            </w: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8,799.64</w:t>
            </w: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5.85%</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8,799.64</w:t>
            </w: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4,620.00</w:t>
            </w: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3.07%</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4,620.00</w:t>
            </w: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0.60</w:t>
            </w: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0.60</w:t>
            </w: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150,383.94</w:t>
            </w: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150,383.94</w:t>
            </w:r>
          </w:p>
        </w:tc>
      </w:tr>
    </w:tbl>
    <w:p w:rsidR="00745844" w:rsidRDefault="00745844" w:rsidP="00745844">
      <w:pPr>
        <w:pStyle w:val="3"/>
        <w:spacing w:line="280" w:lineRule="exact"/>
        <w:jc w:val="left"/>
        <w:rPr>
          <w:rFonts w:ascii="宋体" w:hAnsi="宋体" w:cs="宋体"/>
          <w:b/>
          <w:bCs/>
        </w:rPr>
      </w:pPr>
      <w:bookmarkStart w:id="429" w:name="_Toc989313"/>
      <w:r>
        <w:rPr>
          <w:rFonts w:ascii="宋体" w:hAnsi="宋体" w:cs="宋体" w:hint="eastAsia"/>
          <w:b/>
          <w:bCs/>
        </w:rPr>
        <w:t>2、其他应收款</w:t>
      </w:r>
      <w:bookmarkEnd w:id="429"/>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5"/>
        <w:gridCol w:w="3215"/>
        <w:gridCol w:w="3215"/>
      </w:tblGrid>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期初余额</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9,000,000.00</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9,000,000.00</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34,421,290.67</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25,995,991.70</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43,421,290.67</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34,995,991.70</w:t>
            </w:r>
          </w:p>
        </w:tc>
      </w:tr>
    </w:tbl>
    <w:p w:rsidR="00745844" w:rsidRDefault="00745844" w:rsidP="00745844">
      <w:pPr>
        <w:keepNext/>
        <w:keepLines/>
        <w:spacing w:before="300" w:after="300" w:line="280" w:lineRule="exact"/>
        <w:outlineLvl w:val="3"/>
        <w:rPr>
          <w:rFonts w:ascii="宋体" w:eastAsia="宋体" w:hAnsi="宋体" w:cs="宋体"/>
          <w:b/>
          <w:bCs/>
          <w:sz w:val="18"/>
          <w:szCs w:val="18"/>
        </w:rPr>
      </w:pPr>
      <w:bookmarkStart w:id="430" w:name="_Toc989314"/>
      <w:r>
        <w:rPr>
          <w:rFonts w:ascii="宋体" w:eastAsia="宋体" w:hAnsi="宋体" w:cs="宋体" w:hint="eastAsia"/>
          <w:b/>
          <w:bCs/>
          <w:sz w:val="18"/>
          <w:szCs w:val="18"/>
        </w:rPr>
        <w:lastRenderedPageBreak/>
        <w:t>（1） 应收利息</w:t>
      </w:r>
      <w:bookmarkEnd w:id="430"/>
    </w:p>
    <w:p w:rsidR="00745844" w:rsidRDefault="00745844" w:rsidP="00745844">
      <w:pPr>
        <w:keepNext/>
        <w:keepLines/>
        <w:spacing w:before="300" w:after="300" w:line="280" w:lineRule="exact"/>
        <w:outlineLvl w:val="4"/>
        <w:rPr>
          <w:rFonts w:ascii="宋体" w:eastAsia="宋体" w:hAnsi="宋体" w:cs="宋体"/>
          <w:b/>
          <w:bCs/>
          <w:sz w:val="18"/>
          <w:szCs w:val="18"/>
        </w:rPr>
      </w:pPr>
      <w:bookmarkStart w:id="431" w:name="_Toc989315"/>
      <w:r>
        <w:rPr>
          <w:rFonts w:ascii="宋体" w:eastAsia="宋体" w:hAnsi="宋体" w:cs="宋体" w:hint="eastAsia"/>
          <w:b/>
          <w:bCs/>
          <w:sz w:val="18"/>
          <w:szCs w:val="18"/>
        </w:rPr>
        <w:t>1） 按坏账计提方法分类披露</w:t>
      </w:r>
      <w:bookmarkEnd w:id="431"/>
    </w:p>
    <w:p w:rsidR="00745844" w:rsidRDefault="00745844" w:rsidP="00745844">
      <w:pPr>
        <w:spacing w:before="40" w:after="4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keepNext/>
        <w:keepLines/>
        <w:spacing w:before="300" w:after="300" w:line="280" w:lineRule="exact"/>
        <w:outlineLvl w:val="3"/>
        <w:rPr>
          <w:rFonts w:ascii="宋体" w:eastAsia="宋体" w:hAnsi="宋体" w:cs="宋体"/>
          <w:b/>
          <w:bCs/>
          <w:sz w:val="18"/>
          <w:szCs w:val="18"/>
        </w:rPr>
      </w:pPr>
      <w:bookmarkStart w:id="432" w:name="_Toc989318"/>
      <w:r>
        <w:rPr>
          <w:rFonts w:ascii="宋体" w:eastAsia="宋体" w:hAnsi="宋体" w:cs="宋体" w:hint="eastAsia"/>
          <w:b/>
          <w:bCs/>
          <w:sz w:val="18"/>
          <w:szCs w:val="18"/>
        </w:rPr>
        <w:t>（2） 应收股利</w:t>
      </w:r>
      <w:bookmarkEnd w:id="432"/>
    </w:p>
    <w:p w:rsidR="00745844" w:rsidRDefault="00745844" w:rsidP="00745844">
      <w:pPr>
        <w:keepNext/>
        <w:keepLines/>
        <w:spacing w:before="300" w:after="300" w:line="280" w:lineRule="exact"/>
        <w:outlineLvl w:val="4"/>
        <w:rPr>
          <w:rFonts w:ascii="宋体" w:eastAsia="宋体" w:hAnsi="宋体" w:cs="宋体"/>
          <w:b/>
          <w:bCs/>
          <w:sz w:val="18"/>
          <w:szCs w:val="18"/>
        </w:rPr>
      </w:pPr>
      <w:bookmarkStart w:id="433" w:name="_Toc989319"/>
      <w:r>
        <w:rPr>
          <w:rFonts w:ascii="宋体" w:eastAsia="宋体" w:hAnsi="宋体" w:cs="宋体" w:hint="eastAsia"/>
          <w:b/>
          <w:bCs/>
          <w:sz w:val="18"/>
          <w:szCs w:val="18"/>
        </w:rPr>
        <w:t>1） 应收股利分类</w:t>
      </w:r>
      <w:bookmarkEnd w:id="433"/>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5"/>
        <w:gridCol w:w="3215"/>
        <w:gridCol w:w="3215"/>
      </w:tblGrid>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期初余额</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沈阳含能金属材料制造有限公司</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9,000,000.00</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9,000,000.00</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9,000,000.00</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9,000,000.00</w:t>
            </w:r>
          </w:p>
        </w:tc>
      </w:tr>
    </w:tbl>
    <w:p w:rsidR="00745844" w:rsidRDefault="00745844" w:rsidP="00745844">
      <w:pPr>
        <w:keepNext/>
        <w:keepLines/>
        <w:spacing w:before="300" w:after="300" w:line="280" w:lineRule="exact"/>
        <w:outlineLvl w:val="4"/>
        <w:rPr>
          <w:rFonts w:ascii="宋体" w:eastAsia="宋体" w:hAnsi="宋体" w:cs="宋体"/>
          <w:b/>
          <w:bCs/>
          <w:sz w:val="18"/>
          <w:szCs w:val="18"/>
        </w:rPr>
      </w:pPr>
      <w:bookmarkStart w:id="434" w:name="_Toc989320"/>
      <w:r>
        <w:rPr>
          <w:rFonts w:ascii="宋体" w:eastAsia="宋体" w:hAnsi="宋体" w:cs="宋体" w:hint="eastAsia"/>
          <w:b/>
          <w:bCs/>
          <w:sz w:val="18"/>
          <w:szCs w:val="18"/>
        </w:rPr>
        <w:t>2） 重要的账龄超过1年的应收股利</w:t>
      </w:r>
      <w:bookmarkEnd w:id="434"/>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29"/>
        <w:gridCol w:w="1929"/>
        <w:gridCol w:w="1929"/>
        <w:gridCol w:w="1929"/>
        <w:gridCol w:w="1929"/>
      </w:tblGrid>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项目（或被投资单位）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账龄</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未收回的原因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是否发生减值及其判断依据</w:t>
            </w:r>
          </w:p>
        </w:tc>
      </w:tr>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沈阳含能金属材料制造有限公司</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9,000,000.00</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1-2年</w:t>
            </w: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rPr>
                <w:rFonts w:ascii="宋体" w:eastAsia="宋体" w:hAnsi="宋体" w:cs="宋体"/>
                <w:sz w:val="18"/>
                <w:szCs w:val="18"/>
              </w:rPr>
            </w:pPr>
          </w:p>
        </w:tc>
      </w:tr>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9,000,000.00</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r>
    </w:tbl>
    <w:p w:rsidR="00745844" w:rsidRDefault="00745844" w:rsidP="00745844">
      <w:pPr>
        <w:keepNext/>
        <w:keepLines/>
        <w:spacing w:before="300" w:after="300" w:line="280" w:lineRule="exact"/>
        <w:outlineLvl w:val="3"/>
        <w:rPr>
          <w:rFonts w:ascii="宋体" w:eastAsia="宋体" w:hAnsi="宋体" w:cs="宋体"/>
          <w:b/>
          <w:bCs/>
          <w:sz w:val="18"/>
          <w:szCs w:val="18"/>
        </w:rPr>
      </w:pPr>
      <w:bookmarkStart w:id="435" w:name="_Toc989321"/>
      <w:r>
        <w:rPr>
          <w:rFonts w:ascii="宋体" w:eastAsia="宋体" w:hAnsi="宋体" w:cs="宋体" w:hint="eastAsia"/>
          <w:b/>
          <w:bCs/>
          <w:sz w:val="18"/>
          <w:szCs w:val="18"/>
        </w:rPr>
        <w:t>（3） 其他应收款</w:t>
      </w:r>
      <w:bookmarkEnd w:id="435"/>
    </w:p>
    <w:p w:rsidR="00745844" w:rsidRDefault="00745844" w:rsidP="00745844">
      <w:pPr>
        <w:keepNext/>
        <w:keepLines/>
        <w:spacing w:before="300" w:after="300" w:line="280" w:lineRule="exact"/>
        <w:outlineLvl w:val="4"/>
        <w:rPr>
          <w:rFonts w:ascii="宋体" w:eastAsia="宋体" w:hAnsi="宋体" w:cs="宋体"/>
          <w:b/>
          <w:bCs/>
          <w:sz w:val="18"/>
          <w:szCs w:val="18"/>
        </w:rPr>
      </w:pPr>
      <w:bookmarkStart w:id="436" w:name="_Toc989322"/>
      <w:r>
        <w:rPr>
          <w:rFonts w:ascii="宋体" w:eastAsia="宋体" w:hAnsi="宋体" w:cs="宋体" w:hint="eastAsia"/>
          <w:b/>
          <w:bCs/>
          <w:sz w:val="18"/>
          <w:szCs w:val="18"/>
        </w:rPr>
        <w:t>1） 其他应收款按款项性质分类情况</w:t>
      </w:r>
      <w:bookmarkEnd w:id="436"/>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5"/>
        <w:gridCol w:w="3215"/>
        <w:gridCol w:w="3215"/>
      </w:tblGrid>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期初账面余额</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个人借支备用金</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36,306.91</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200,779.14</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其他单位往来款</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26,757,230.95</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26,361,108.63</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关联方往来款</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33,602,887.24</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25,431,941.87</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历史遗留款项</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4,390,263.55</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4,390,263.55</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64,786,688.65</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56,384,093.19</w:t>
            </w:r>
          </w:p>
        </w:tc>
      </w:tr>
    </w:tbl>
    <w:p w:rsidR="00745844" w:rsidRDefault="00745844" w:rsidP="00745844">
      <w:pPr>
        <w:keepNext/>
        <w:keepLines/>
        <w:spacing w:before="300" w:after="300" w:line="280" w:lineRule="exact"/>
        <w:outlineLvl w:val="4"/>
        <w:rPr>
          <w:rFonts w:ascii="宋体" w:eastAsia="宋体" w:hAnsi="宋体" w:cs="宋体"/>
          <w:b/>
          <w:bCs/>
          <w:sz w:val="18"/>
          <w:szCs w:val="18"/>
        </w:rPr>
      </w:pPr>
      <w:bookmarkStart w:id="437" w:name="_Toc989323"/>
      <w:r>
        <w:rPr>
          <w:rFonts w:ascii="宋体" w:eastAsia="宋体" w:hAnsi="宋体" w:cs="宋体" w:hint="eastAsia"/>
          <w:b/>
          <w:bCs/>
          <w:sz w:val="18"/>
          <w:szCs w:val="18"/>
        </w:rPr>
        <w:t xml:space="preserve">2） </w:t>
      </w:r>
      <w:proofErr w:type="gramStart"/>
      <w:r>
        <w:rPr>
          <w:rFonts w:ascii="宋体" w:eastAsia="宋体" w:hAnsi="宋体" w:cs="宋体" w:hint="eastAsia"/>
          <w:b/>
          <w:bCs/>
          <w:sz w:val="18"/>
          <w:szCs w:val="18"/>
        </w:rPr>
        <w:t>按账龄</w:t>
      </w:r>
      <w:proofErr w:type="gramEnd"/>
      <w:r>
        <w:rPr>
          <w:rFonts w:ascii="宋体" w:eastAsia="宋体" w:hAnsi="宋体" w:cs="宋体" w:hint="eastAsia"/>
          <w:b/>
          <w:bCs/>
          <w:sz w:val="18"/>
          <w:szCs w:val="18"/>
        </w:rPr>
        <w:t>披露</w:t>
      </w:r>
      <w:bookmarkEnd w:id="437"/>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215"/>
        <w:gridCol w:w="3215"/>
        <w:gridCol w:w="3215"/>
      </w:tblGrid>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期初账面余额</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19,495,243.21</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25,926,806.48</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14,904,251.49</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67,113.12</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5,867.00</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33,042.31</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30,381,326.95</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30,357,131.28</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ind w:firstLineChars="200" w:firstLine="360"/>
              <w:rPr>
                <w:rFonts w:ascii="宋体" w:eastAsia="宋体" w:hAnsi="宋体" w:cs="宋体"/>
                <w:sz w:val="18"/>
                <w:szCs w:val="18"/>
              </w:rPr>
            </w:pPr>
            <w:r>
              <w:rPr>
                <w:rFonts w:ascii="宋体" w:eastAsia="宋体" w:hAnsi="宋体" w:cs="宋体" w:hint="eastAsia"/>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242.10</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ind w:firstLineChars="200" w:firstLine="360"/>
              <w:rPr>
                <w:rFonts w:ascii="宋体" w:eastAsia="宋体" w:hAnsi="宋体" w:cs="宋体"/>
                <w:sz w:val="18"/>
                <w:szCs w:val="18"/>
              </w:rPr>
            </w:pPr>
            <w:r>
              <w:rPr>
                <w:rFonts w:ascii="宋体" w:eastAsia="宋体" w:hAnsi="宋体" w:cs="宋体" w:hint="eastAsia"/>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30,381,326.95</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30,356,889.18</w:t>
            </w:r>
          </w:p>
        </w:tc>
      </w:tr>
      <w:tr w:rsidR="00745844" w:rsidTr="0074584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64,786,688.65</w:t>
            </w:r>
          </w:p>
        </w:tc>
        <w:tc>
          <w:tcPr>
            <w:tcW w:w="3213"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56,384,093.19</w:t>
            </w:r>
          </w:p>
        </w:tc>
      </w:tr>
    </w:tbl>
    <w:p w:rsidR="00745844" w:rsidRDefault="00745844" w:rsidP="00745844">
      <w:pPr>
        <w:keepNext/>
        <w:keepLines/>
        <w:spacing w:before="300" w:after="300" w:line="280" w:lineRule="exact"/>
        <w:outlineLvl w:val="4"/>
        <w:rPr>
          <w:rFonts w:ascii="宋体" w:eastAsia="宋体" w:hAnsi="宋体" w:cs="宋体"/>
          <w:b/>
          <w:bCs/>
          <w:sz w:val="18"/>
          <w:szCs w:val="18"/>
        </w:rPr>
      </w:pPr>
      <w:bookmarkStart w:id="438" w:name="_Toc989324"/>
      <w:r>
        <w:rPr>
          <w:rFonts w:ascii="宋体" w:eastAsia="宋体" w:hAnsi="宋体" w:cs="宋体" w:hint="eastAsia"/>
          <w:b/>
          <w:bCs/>
          <w:sz w:val="18"/>
          <w:szCs w:val="18"/>
        </w:rPr>
        <w:lastRenderedPageBreak/>
        <w:t>3） 按坏账计提方法分类披露</w:t>
      </w:r>
      <w:bookmarkEnd w:id="438"/>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77"/>
        <w:gridCol w:w="877"/>
        <w:gridCol w:w="878"/>
        <w:gridCol w:w="877"/>
        <w:gridCol w:w="878"/>
        <w:gridCol w:w="876"/>
        <w:gridCol w:w="876"/>
        <w:gridCol w:w="877"/>
        <w:gridCol w:w="876"/>
        <w:gridCol w:w="877"/>
        <w:gridCol w:w="876"/>
      </w:tblGrid>
      <w:tr w:rsidR="00745844" w:rsidTr="00745844">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期初余额</w:t>
            </w:r>
          </w:p>
        </w:tc>
      </w:tr>
      <w:tr w:rsidR="00745844" w:rsidTr="00745844">
        <w:trPr>
          <w:trHeight w:val="240"/>
        </w:trPr>
        <w:tc>
          <w:tcPr>
            <w:tcW w:w="876"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账面价值</w:t>
            </w:r>
          </w:p>
        </w:tc>
      </w:tr>
      <w:tr w:rsidR="00745844" w:rsidTr="00745844">
        <w:trPr>
          <w:trHeight w:val="240"/>
        </w:trPr>
        <w:tc>
          <w:tcPr>
            <w:tcW w:w="876"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20,000,777.88</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30.87%</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20,000,777.88</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20,000,777.88</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35.47%</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20,000,777.88</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ind w:firstLineChars="100" w:firstLine="180"/>
              <w:rPr>
                <w:rFonts w:ascii="宋体" w:eastAsia="宋体" w:hAnsi="宋体" w:cs="宋体"/>
                <w:sz w:val="18"/>
                <w:szCs w:val="18"/>
              </w:rPr>
            </w:pPr>
            <w:r>
              <w:rPr>
                <w:rFonts w:ascii="宋体" w:eastAsia="宋体" w:hAnsi="宋体" w:cs="宋体" w:hint="eastAsia"/>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44,785,910.77</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69.13%</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10,364,620.10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23.14%</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34,421,290.67</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36,383,315.31</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64.53%</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10,387,323.61</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28.55%</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25,995,991.70</w:t>
            </w:r>
          </w:p>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ind w:firstLineChars="100" w:firstLine="180"/>
              <w:rPr>
                <w:rFonts w:ascii="宋体" w:eastAsia="宋体" w:hAnsi="宋体" w:cs="宋体"/>
                <w:sz w:val="18"/>
                <w:szCs w:val="18"/>
              </w:rPr>
            </w:pPr>
            <w:r>
              <w:rPr>
                <w:rFonts w:ascii="宋体" w:eastAsia="宋体" w:hAnsi="宋体" w:cs="宋体" w:hint="eastAsia"/>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1.个人借支备用金</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36,306.91</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0.06%</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363.07</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35,943.84</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200,779.14</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0.36%</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13,307.79</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6.63%</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187,471.35</w:t>
            </w:r>
          </w:p>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2.其他单位往来款</w:t>
            </w: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7,456,784.20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13.22%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7,080,205.72</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94.95%</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376,578.48</w:t>
            </w:r>
          </w:p>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3.关联方往来款</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41,455,793.76</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63.99%</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7,070,446.93</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17.06%</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34,385,346.83</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25,431,941.87</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45.10%</w:t>
            </w: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25,431,941.87</w:t>
            </w:r>
          </w:p>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4.历史遗留款项</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3,293,810.10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5.08%</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3,293,810.10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3,293,810.10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5.84%</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3,293,810.10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64,786,688.65</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30,365,397.98</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46.87%</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34,421,290.67</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56,384,093.19</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30,388,101.49</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53.89%</w:t>
            </w:r>
          </w:p>
        </w:tc>
        <w:tc>
          <w:tcPr>
            <w:tcW w:w="87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25,995,991.70</w:t>
            </w:r>
          </w:p>
        </w:tc>
      </w:tr>
    </w:tbl>
    <w:p w:rsidR="00745844" w:rsidRDefault="00745844" w:rsidP="00745844">
      <w:pPr>
        <w:spacing w:line="240" w:lineRule="exact"/>
        <w:rPr>
          <w:rFonts w:ascii="宋体" w:eastAsia="宋体" w:hAnsi="宋体" w:cs="宋体"/>
          <w:sz w:val="18"/>
          <w:szCs w:val="18"/>
        </w:rPr>
      </w:pPr>
      <w:r>
        <w:rPr>
          <w:rFonts w:ascii="宋体" w:eastAsia="宋体" w:hAnsi="宋体" w:cs="宋体" w:hint="eastAsia"/>
          <w:sz w:val="18"/>
          <w:szCs w:val="18"/>
        </w:rPr>
        <w:t>按单项计提坏账准备：银行休眠账户</w:t>
      </w:r>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77"/>
        <w:gridCol w:w="1378"/>
        <w:gridCol w:w="1378"/>
        <w:gridCol w:w="1378"/>
        <w:gridCol w:w="1378"/>
        <w:gridCol w:w="1378"/>
        <w:gridCol w:w="1378"/>
      </w:tblGrid>
      <w:tr w:rsidR="00745844" w:rsidTr="0074584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r>
      <w:tr w:rsidR="00745844" w:rsidTr="00745844">
        <w:trPr>
          <w:trHeight w:val="240"/>
        </w:trPr>
        <w:tc>
          <w:tcPr>
            <w:tcW w:w="1377"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计提理由</w:t>
            </w:r>
          </w:p>
        </w:tc>
      </w:tr>
      <w:tr w:rsidR="00745844" w:rsidTr="00745844">
        <w:trPr>
          <w:trHeight w:val="240"/>
        </w:trPr>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银行休眠账户</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1,096,453.45</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1,096,453.45</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1,096,453.45</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1,096,453.45</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预计无法收回</w:t>
            </w:r>
          </w:p>
        </w:tc>
      </w:tr>
      <w:tr w:rsidR="00745844" w:rsidTr="0074584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1,096,453.45</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1,096,453.45</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1,096,453.45</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1,096,453.45</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r>
    </w:tbl>
    <w:p w:rsidR="00745844" w:rsidRDefault="00745844" w:rsidP="00745844">
      <w:pPr>
        <w:spacing w:line="240" w:lineRule="exact"/>
        <w:rPr>
          <w:rFonts w:ascii="宋体" w:eastAsia="宋体" w:hAnsi="宋体" w:cs="宋体"/>
          <w:sz w:val="18"/>
          <w:szCs w:val="18"/>
        </w:rPr>
      </w:pPr>
      <w:r>
        <w:rPr>
          <w:rFonts w:ascii="宋体" w:eastAsia="宋体" w:hAnsi="宋体" w:cs="宋体" w:hint="eastAsia"/>
          <w:sz w:val="18"/>
          <w:szCs w:val="18"/>
        </w:rPr>
        <w:t>按单项计提坏账准备：</w:t>
      </w:r>
      <w:r w:rsidRPr="009910CC">
        <w:rPr>
          <w:rFonts w:ascii="宋体" w:eastAsia="宋体" w:hAnsi="宋体" w:cs="宋体" w:hint="eastAsia"/>
          <w:sz w:val="18"/>
          <w:szCs w:val="18"/>
        </w:rPr>
        <w:t>江门机械厂</w:t>
      </w:r>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65"/>
        <w:gridCol w:w="1590"/>
        <w:gridCol w:w="1529"/>
        <w:gridCol w:w="1417"/>
        <w:gridCol w:w="1418"/>
        <w:gridCol w:w="1148"/>
        <w:gridCol w:w="1378"/>
      </w:tblGrid>
      <w:tr w:rsidR="00745844" w:rsidTr="00023F26">
        <w:trPr>
          <w:trHeight w:val="240"/>
        </w:trPr>
        <w:tc>
          <w:tcPr>
            <w:tcW w:w="1165"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名称</w:t>
            </w:r>
          </w:p>
        </w:tc>
        <w:tc>
          <w:tcPr>
            <w:tcW w:w="3119"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期初余额</w:t>
            </w:r>
          </w:p>
        </w:tc>
        <w:tc>
          <w:tcPr>
            <w:tcW w:w="5361" w:type="dxa"/>
            <w:gridSpan w:val="4"/>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r>
      <w:tr w:rsidR="00745844" w:rsidTr="00023F26">
        <w:trPr>
          <w:trHeight w:val="240"/>
        </w:trPr>
        <w:tc>
          <w:tcPr>
            <w:tcW w:w="1165"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59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账面余额</w:t>
            </w:r>
          </w:p>
        </w:tc>
        <w:tc>
          <w:tcPr>
            <w:tcW w:w="1529"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账面余额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计提比例</w:t>
            </w:r>
          </w:p>
        </w:tc>
        <w:tc>
          <w:tcPr>
            <w:tcW w:w="137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计提理由</w:t>
            </w:r>
          </w:p>
        </w:tc>
      </w:tr>
      <w:tr w:rsidR="00745844" w:rsidTr="00023F26">
        <w:trPr>
          <w:trHeight w:val="240"/>
        </w:trPr>
        <w:tc>
          <w:tcPr>
            <w:tcW w:w="116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江门机械厂</w:t>
            </w:r>
          </w:p>
        </w:tc>
        <w:tc>
          <w:tcPr>
            <w:tcW w:w="159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18,904,324.43</w:t>
            </w:r>
          </w:p>
        </w:tc>
        <w:tc>
          <w:tcPr>
            <w:tcW w:w="1529"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18,904,324.43</w:t>
            </w:r>
          </w:p>
        </w:tc>
        <w:tc>
          <w:tcPr>
            <w:tcW w:w="141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18,904,324.43</w:t>
            </w:r>
          </w:p>
        </w:tc>
        <w:tc>
          <w:tcPr>
            <w:tcW w:w="141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18,904,324.43</w:t>
            </w:r>
          </w:p>
        </w:tc>
        <w:tc>
          <w:tcPr>
            <w:tcW w:w="114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c>
          <w:tcPr>
            <w:tcW w:w="137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预计无法收回</w:t>
            </w:r>
          </w:p>
        </w:tc>
      </w:tr>
      <w:tr w:rsidR="00745844" w:rsidTr="00023F26">
        <w:trPr>
          <w:trHeight w:val="240"/>
        </w:trPr>
        <w:tc>
          <w:tcPr>
            <w:tcW w:w="116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159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18,904,324.43</w:t>
            </w:r>
          </w:p>
        </w:tc>
        <w:tc>
          <w:tcPr>
            <w:tcW w:w="1529"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18,904,324.43</w:t>
            </w:r>
          </w:p>
        </w:tc>
        <w:tc>
          <w:tcPr>
            <w:tcW w:w="141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18,904,324.43</w:t>
            </w:r>
          </w:p>
        </w:tc>
        <w:tc>
          <w:tcPr>
            <w:tcW w:w="141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18,904,324.43</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1378"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r>
    </w:tbl>
    <w:p w:rsidR="00745844" w:rsidRDefault="00745844" w:rsidP="00745844">
      <w:pPr>
        <w:spacing w:line="240" w:lineRule="exact"/>
        <w:rPr>
          <w:rFonts w:ascii="宋体" w:eastAsia="宋体" w:hAnsi="宋体" w:cs="宋体"/>
          <w:sz w:val="18"/>
          <w:szCs w:val="18"/>
        </w:rPr>
      </w:pPr>
      <w:r>
        <w:rPr>
          <w:rFonts w:ascii="宋体" w:eastAsia="宋体" w:hAnsi="宋体" w:cs="宋体" w:hint="eastAsia"/>
          <w:sz w:val="18"/>
          <w:szCs w:val="18"/>
        </w:rPr>
        <w:t>按组合计提坏账准备：历史遗留款项</w:t>
      </w:r>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12"/>
        <w:gridCol w:w="2411"/>
        <w:gridCol w:w="2411"/>
        <w:gridCol w:w="2411"/>
      </w:tblGrid>
      <w:tr w:rsidR="00745844" w:rsidTr="00745844">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r>
      <w:tr w:rsidR="00745844" w:rsidTr="00745844">
        <w:trPr>
          <w:trHeight w:val="240"/>
        </w:trPr>
        <w:tc>
          <w:tcPr>
            <w:tcW w:w="2410"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计提比例</w:t>
            </w:r>
          </w:p>
        </w:tc>
      </w:tr>
      <w:tr w:rsidR="00745844" w:rsidTr="00745844">
        <w:trPr>
          <w:trHeight w:val="240"/>
        </w:trPr>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历史遗留款项</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3,293,810.10</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3,293,810.10</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w:t>
            </w:r>
          </w:p>
        </w:tc>
      </w:tr>
      <w:tr w:rsidR="00745844" w:rsidTr="00745844">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3,293,810.10</w:t>
            </w:r>
          </w:p>
        </w:tc>
        <w:tc>
          <w:tcPr>
            <w:tcW w:w="2410"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3,293,810.10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r>
    </w:tbl>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按预期信用损失一般模型计提坏账准备：</w:t>
      </w:r>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lastRenderedPageBreak/>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29"/>
        <w:gridCol w:w="1929"/>
        <w:gridCol w:w="1929"/>
        <w:gridCol w:w="1929"/>
        <w:gridCol w:w="1929"/>
      </w:tblGrid>
      <w:tr w:rsidR="00745844" w:rsidTr="0074584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合计</w:t>
            </w:r>
          </w:p>
        </w:tc>
      </w:tr>
      <w:tr w:rsidR="00745844" w:rsidTr="00745844">
        <w:trPr>
          <w:trHeight w:val="240"/>
        </w:trPr>
        <w:tc>
          <w:tcPr>
            <w:tcW w:w="1928"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整个存续期预期信用损失（已发生信用减值）</w:t>
            </w:r>
          </w:p>
        </w:tc>
        <w:tc>
          <w:tcPr>
            <w:tcW w:w="1929"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r>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2024年1月1日余额</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7,093,513.51</w:t>
            </w: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23,294,587.98</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30,388,101.49</w:t>
            </w:r>
          </w:p>
        </w:tc>
      </w:tr>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2024年1月1日余额在本期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r>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6,381.29</w:t>
            </w: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6,381.29</w:t>
            </w:r>
          </w:p>
        </w:tc>
      </w:tr>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本期转回</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29,084.80</w:t>
            </w: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29,084.80</w:t>
            </w:r>
          </w:p>
        </w:tc>
      </w:tr>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2024年12月31日余额</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7,070,810.00</w:t>
            </w: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23,294,587.98</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30,365,397.98</w:t>
            </w:r>
          </w:p>
        </w:tc>
      </w:tr>
    </w:tbl>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损失准备本期变动金额重大的账面余额变动情况</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keepNext/>
        <w:keepLines/>
        <w:spacing w:before="300" w:after="300" w:line="280" w:lineRule="exact"/>
        <w:outlineLvl w:val="4"/>
        <w:rPr>
          <w:rFonts w:ascii="宋体" w:eastAsia="宋体" w:hAnsi="宋体" w:cs="宋体"/>
          <w:b/>
          <w:bCs/>
          <w:sz w:val="18"/>
          <w:szCs w:val="18"/>
        </w:rPr>
      </w:pPr>
      <w:bookmarkStart w:id="439" w:name="_Toc989325"/>
      <w:r>
        <w:rPr>
          <w:rFonts w:ascii="宋体" w:eastAsia="宋体" w:hAnsi="宋体" w:cs="宋体" w:hint="eastAsia"/>
          <w:b/>
          <w:bCs/>
          <w:sz w:val="18"/>
          <w:szCs w:val="18"/>
        </w:rPr>
        <w:t>4） 本期计提、收回或转回的坏账准备情况</w:t>
      </w:r>
      <w:bookmarkEnd w:id="439"/>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本期计提坏账准备情况：</w:t>
      </w:r>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77"/>
        <w:gridCol w:w="1378"/>
        <w:gridCol w:w="1378"/>
        <w:gridCol w:w="1378"/>
        <w:gridCol w:w="1378"/>
        <w:gridCol w:w="1378"/>
        <w:gridCol w:w="1378"/>
      </w:tblGrid>
      <w:tr w:rsidR="00745844" w:rsidTr="00745844">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r>
      <w:tr w:rsidR="00745844" w:rsidTr="00745844">
        <w:trPr>
          <w:trHeight w:val="240"/>
        </w:trPr>
        <w:tc>
          <w:tcPr>
            <w:tcW w:w="1377"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377"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其他</w:t>
            </w:r>
          </w:p>
        </w:tc>
        <w:tc>
          <w:tcPr>
            <w:tcW w:w="1378"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r>
      <w:tr w:rsidR="00745844" w:rsidTr="00745844">
        <w:trPr>
          <w:trHeight w:val="240"/>
        </w:trPr>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30,388,101.49</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6,381.29</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29,084.80</w:t>
            </w: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30,365,397.98</w:t>
            </w:r>
          </w:p>
        </w:tc>
      </w:tr>
      <w:tr w:rsidR="00745844" w:rsidTr="00745844">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30,388,101.49</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6,381.29</w:t>
            </w: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29,084.80</w:t>
            </w: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30,365,397.98</w:t>
            </w:r>
          </w:p>
        </w:tc>
      </w:tr>
    </w:tbl>
    <w:p w:rsidR="00745844" w:rsidRDefault="00745844" w:rsidP="00745844">
      <w:pPr>
        <w:keepNext/>
        <w:keepLines/>
        <w:spacing w:before="300" w:after="300" w:line="280" w:lineRule="exact"/>
        <w:outlineLvl w:val="4"/>
        <w:rPr>
          <w:rFonts w:ascii="宋体" w:eastAsia="宋体" w:hAnsi="宋体" w:cs="宋体"/>
          <w:b/>
          <w:bCs/>
          <w:sz w:val="18"/>
          <w:szCs w:val="18"/>
        </w:rPr>
      </w:pPr>
      <w:bookmarkStart w:id="440" w:name="_Toc989326"/>
      <w:r>
        <w:rPr>
          <w:rFonts w:ascii="宋体" w:eastAsia="宋体" w:hAnsi="宋体" w:cs="宋体" w:hint="eastAsia"/>
          <w:b/>
          <w:bCs/>
          <w:sz w:val="18"/>
          <w:szCs w:val="18"/>
        </w:rPr>
        <w:t>5） 按欠款方归集的期末余额前五名的其他应收款情况</w:t>
      </w:r>
      <w:bookmarkEnd w:id="440"/>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07"/>
        <w:gridCol w:w="1607"/>
        <w:gridCol w:w="1607"/>
        <w:gridCol w:w="1608"/>
        <w:gridCol w:w="1608"/>
        <w:gridCol w:w="1608"/>
      </w:tblGrid>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坏账准备期末余额</w:t>
            </w: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25,353,958.84</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44.97%</w:t>
            </w:r>
          </w:p>
        </w:tc>
        <w:tc>
          <w:tcPr>
            <w:tcW w:w="1606"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18,904,324.43</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33.53%</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18,904,324.43</w:t>
            </w: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7,062,300.00</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12.53%</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7,062,300.00</w:t>
            </w: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历史</w:t>
            </w:r>
            <w:proofErr w:type="gramStart"/>
            <w:r>
              <w:rPr>
                <w:rFonts w:ascii="宋体" w:eastAsia="宋体" w:hAnsi="宋体" w:cs="宋体" w:hint="eastAsia"/>
                <w:sz w:val="18"/>
                <w:szCs w:val="18"/>
              </w:rPr>
              <w:t>遗留款</w:t>
            </w:r>
            <w:proofErr w:type="gramEnd"/>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1,096,453.45</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1.94%</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1,096,453.45</w:t>
            </w: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历史</w:t>
            </w:r>
            <w:proofErr w:type="gramStart"/>
            <w:r>
              <w:rPr>
                <w:rFonts w:ascii="宋体" w:eastAsia="宋体" w:hAnsi="宋体" w:cs="宋体" w:hint="eastAsia"/>
                <w:sz w:val="18"/>
                <w:szCs w:val="18"/>
              </w:rPr>
              <w:t>遗留款</w:t>
            </w:r>
            <w:proofErr w:type="gramEnd"/>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626,267.42</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1.11%</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626,267.42</w:t>
            </w:r>
          </w:p>
        </w:tc>
      </w:tr>
      <w:tr w:rsidR="00745844" w:rsidTr="0074584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53,043,304.14</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745844" w:rsidRDefault="00745844"/>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94.08%</w:t>
            </w:r>
          </w:p>
        </w:tc>
        <w:tc>
          <w:tcPr>
            <w:tcW w:w="1606"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27,689,345.30</w:t>
            </w:r>
          </w:p>
        </w:tc>
      </w:tr>
    </w:tbl>
    <w:p w:rsidR="00745844" w:rsidRDefault="00745844" w:rsidP="00745844">
      <w:pPr>
        <w:pStyle w:val="3"/>
        <w:spacing w:line="280" w:lineRule="exact"/>
        <w:jc w:val="left"/>
        <w:rPr>
          <w:rFonts w:ascii="宋体" w:hAnsi="宋体" w:cs="宋体"/>
          <w:b/>
          <w:bCs/>
        </w:rPr>
      </w:pPr>
      <w:bookmarkStart w:id="441" w:name="_Toc989327"/>
      <w:r>
        <w:rPr>
          <w:rFonts w:ascii="宋体" w:hAnsi="宋体" w:cs="宋体" w:hint="eastAsia"/>
          <w:b/>
          <w:bCs/>
        </w:rPr>
        <w:t>3、长期股权投资</w:t>
      </w:r>
      <w:bookmarkEnd w:id="441"/>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77"/>
        <w:gridCol w:w="1378"/>
        <w:gridCol w:w="1378"/>
        <w:gridCol w:w="1378"/>
        <w:gridCol w:w="1378"/>
        <w:gridCol w:w="1378"/>
        <w:gridCol w:w="1378"/>
      </w:tblGrid>
      <w:tr w:rsidR="00745844" w:rsidRPr="00B862AA" w:rsidTr="00D2096A">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Pr="00B862AA" w:rsidRDefault="00745844">
            <w:pPr>
              <w:spacing w:before="40" w:after="40" w:line="240" w:lineRule="exact"/>
              <w:jc w:val="center"/>
              <w:rPr>
                <w:rFonts w:ascii="宋体" w:eastAsia="宋体" w:hAnsi="宋体" w:cs="宋体"/>
                <w:sz w:val="18"/>
                <w:szCs w:val="18"/>
              </w:rPr>
            </w:pPr>
            <w:r w:rsidRPr="00B862AA">
              <w:rPr>
                <w:rFonts w:ascii="宋体" w:eastAsia="宋体" w:hAnsi="宋体" w:cs="宋体" w:hint="eastAsia"/>
                <w:sz w:val="18"/>
                <w:szCs w:val="18"/>
              </w:rPr>
              <w:t>项目</w:t>
            </w:r>
          </w:p>
        </w:tc>
        <w:tc>
          <w:tcPr>
            <w:tcW w:w="4134" w:type="dxa"/>
            <w:gridSpan w:val="3"/>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Pr="00B862AA" w:rsidRDefault="00745844">
            <w:pPr>
              <w:spacing w:before="40" w:after="40" w:line="240" w:lineRule="exact"/>
              <w:jc w:val="center"/>
              <w:rPr>
                <w:rFonts w:ascii="宋体" w:eastAsia="宋体" w:hAnsi="宋体" w:cs="宋体"/>
                <w:sz w:val="18"/>
                <w:szCs w:val="18"/>
              </w:rPr>
            </w:pPr>
            <w:r w:rsidRPr="00B862AA">
              <w:rPr>
                <w:rFonts w:ascii="宋体" w:eastAsia="宋体" w:hAnsi="宋体" w:cs="宋体" w:hint="eastAsia"/>
                <w:sz w:val="18"/>
                <w:szCs w:val="18"/>
              </w:rPr>
              <w:t>期末余额</w:t>
            </w:r>
          </w:p>
        </w:tc>
        <w:tc>
          <w:tcPr>
            <w:tcW w:w="4134" w:type="dxa"/>
            <w:gridSpan w:val="3"/>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Pr="00B862AA" w:rsidRDefault="00745844">
            <w:pPr>
              <w:spacing w:before="40" w:after="40" w:line="240" w:lineRule="exact"/>
              <w:jc w:val="center"/>
              <w:rPr>
                <w:rFonts w:ascii="宋体" w:eastAsia="宋体" w:hAnsi="宋体" w:cs="宋体"/>
                <w:sz w:val="18"/>
                <w:szCs w:val="18"/>
              </w:rPr>
            </w:pPr>
            <w:r w:rsidRPr="00B862AA">
              <w:rPr>
                <w:rFonts w:ascii="宋体" w:eastAsia="宋体" w:hAnsi="宋体" w:cs="宋体" w:hint="eastAsia"/>
                <w:sz w:val="18"/>
                <w:szCs w:val="18"/>
              </w:rPr>
              <w:t>期初余额</w:t>
            </w:r>
          </w:p>
        </w:tc>
      </w:tr>
      <w:tr w:rsidR="00745844" w:rsidRPr="00B862AA" w:rsidTr="00D2096A">
        <w:trPr>
          <w:trHeight w:val="240"/>
        </w:trPr>
        <w:tc>
          <w:tcPr>
            <w:tcW w:w="1377" w:type="dxa"/>
            <w:vMerge/>
            <w:tcBorders>
              <w:top w:val="single" w:sz="2" w:space="0" w:color="auto"/>
              <w:left w:val="single" w:sz="2" w:space="0" w:color="auto"/>
              <w:bottom w:val="single" w:sz="2" w:space="0" w:color="auto"/>
              <w:right w:val="single" w:sz="2" w:space="0" w:color="auto"/>
            </w:tcBorders>
            <w:vAlign w:val="center"/>
            <w:hideMark/>
          </w:tcPr>
          <w:p w:rsidR="00745844" w:rsidRPr="00B862AA" w:rsidRDefault="00745844">
            <w:pPr>
              <w:widowControl/>
              <w:rPr>
                <w:rFonts w:ascii="宋体" w:eastAsia="宋体" w:hAnsi="宋体" w:cs="宋体"/>
                <w:sz w:val="18"/>
                <w:szCs w:val="18"/>
              </w:rPr>
            </w:pPr>
          </w:p>
        </w:tc>
        <w:tc>
          <w:tcPr>
            <w:tcW w:w="137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Pr="00B862AA" w:rsidRDefault="00745844">
            <w:pPr>
              <w:spacing w:before="40" w:after="40" w:line="240" w:lineRule="exact"/>
              <w:jc w:val="center"/>
              <w:rPr>
                <w:rFonts w:ascii="宋体" w:eastAsia="宋体" w:hAnsi="宋体" w:cs="宋体"/>
                <w:sz w:val="18"/>
                <w:szCs w:val="18"/>
              </w:rPr>
            </w:pPr>
            <w:r w:rsidRPr="00B862AA">
              <w:rPr>
                <w:rFonts w:ascii="宋体" w:eastAsia="宋体" w:hAnsi="宋体" w:cs="宋体" w:hint="eastAsia"/>
                <w:sz w:val="18"/>
                <w:szCs w:val="18"/>
              </w:rPr>
              <w:t>账面余额</w:t>
            </w:r>
          </w:p>
        </w:tc>
        <w:tc>
          <w:tcPr>
            <w:tcW w:w="137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Pr="00B862AA" w:rsidRDefault="00745844">
            <w:pPr>
              <w:spacing w:before="40" w:after="40" w:line="240" w:lineRule="exact"/>
              <w:jc w:val="center"/>
              <w:rPr>
                <w:rFonts w:ascii="宋体" w:eastAsia="宋体" w:hAnsi="宋体" w:cs="宋体"/>
                <w:sz w:val="18"/>
                <w:szCs w:val="18"/>
              </w:rPr>
            </w:pPr>
            <w:r w:rsidRPr="00B862AA">
              <w:rPr>
                <w:rFonts w:ascii="宋体" w:eastAsia="宋体" w:hAnsi="宋体" w:cs="宋体" w:hint="eastAsia"/>
                <w:sz w:val="18"/>
                <w:szCs w:val="18"/>
              </w:rPr>
              <w:t>减值准备</w:t>
            </w:r>
          </w:p>
        </w:tc>
        <w:tc>
          <w:tcPr>
            <w:tcW w:w="137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Pr="00B862AA" w:rsidRDefault="00745844">
            <w:pPr>
              <w:spacing w:before="40" w:after="40" w:line="240" w:lineRule="exact"/>
              <w:jc w:val="center"/>
              <w:rPr>
                <w:rFonts w:ascii="宋体" w:eastAsia="宋体" w:hAnsi="宋体" w:cs="宋体"/>
                <w:sz w:val="18"/>
                <w:szCs w:val="18"/>
              </w:rPr>
            </w:pPr>
            <w:r w:rsidRPr="00B862AA">
              <w:rPr>
                <w:rFonts w:ascii="宋体" w:eastAsia="宋体" w:hAnsi="宋体" w:cs="宋体" w:hint="eastAsia"/>
                <w:sz w:val="18"/>
                <w:szCs w:val="18"/>
              </w:rPr>
              <w:t>账面价值</w:t>
            </w:r>
          </w:p>
        </w:tc>
        <w:tc>
          <w:tcPr>
            <w:tcW w:w="137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Pr="00B862AA" w:rsidRDefault="00745844">
            <w:pPr>
              <w:spacing w:before="40" w:after="40" w:line="240" w:lineRule="exact"/>
              <w:jc w:val="center"/>
              <w:rPr>
                <w:rFonts w:ascii="宋体" w:eastAsia="宋体" w:hAnsi="宋体" w:cs="宋体"/>
                <w:sz w:val="18"/>
                <w:szCs w:val="18"/>
              </w:rPr>
            </w:pPr>
            <w:r w:rsidRPr="00B862AA">
              <w:rPr>
                <w:rFonts w:ascii="宋体" w:eastAsia="宋体" w:hAnsi="宋体" w:cs="宋体" w:hint="eastAsia"/>
                <w:sz w:val="18"/>
                <w:szCs w:val="18"/>
              </w:rPr>
              <w:t>账面余额</w:t>
            </w:r>
          </w:p>
        </w:tc>
        <w:tc>
          <w:tcPr>
            <w:tcW w:w="137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Pr="00B862AA" w:rsidRDefault="00745844">
            <w:pPr>
              <w:spacing w:before="40" w:after="40" w:line="240" w:lineRule="exact"/>
              <w:jc w:val="center"/>
              <w:rPr>
                <w:rFonts w:ascii="宋体" w:eastAsia="宋体" w:hAnsi="宋体" w:cs="宋体"/>
                <w:sz w:val="18"/>
                <w:szCs w:val="18"/>
              </w:rPr>
            </w:pPr>
            <w:r w:rsidRPr="00B862AA">
              <w:rPr>
                <w:rFonts w:ascii="宋体" w:eastAsia="宋体" w:hAnsi="宋体" w:cs="宋体" w:hint="eastAsia"/>
                <w:sz w:val="18"/>
                <w:szCs w:val="18"/>
              </w:rPr>
              <w:t>减值准备</w:t>
            </w:r>
          </w:p>
        </w:tc>
        <w:tc>
          <w:tcPr>
            <w:tcW w:w="137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Pr="00B862AA" w:rsidRDefault="00745844">
            <w:pPr>
              <w:spacing w:before="40" w:after="40" w:line="240" w:lineRule="exact"/>
              <w:jc w:val="center"/>
              <w:rPr>
                <w:rFonts w:ascii="宋体" w:eastAsia="宋体" w:hAnsi="宋体" w:cs="宋体"/>
                <w:sz w:val="18"/>
                <w:szCs w:val="18"/>
              </w:rPr>
            </w:pPr>
            <w:r w:rsidRPr="00B862AA">
              <w:rPr>
                <w:rFonts w:ascii="宋体" w:eastAsia="宋体" w:hAnsi="宋体" w:cs="宋体" w:hint="eastAsia"/>
                <w:sz w:val="18"/>
                <w:szCs w:val="18"/>
              </w:rPr>
              <w:t>账面价值</w:t>
            </w:r>
          </w:p>
        </w:tc>
      </w:tr>
      <w:tr w:rsidR="00D2096A" w:rsidRPr="00B862AA" w:rsidTr="00D2096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D2096A" w:rsidRPr="00B862AA" w:rsidRDefault="00D2096A" w:rsidP="00D2096A">
            <w:pPr>
              <w:spacing w:before="40" w:after="40" w:line="240" w:lineRule="exact"/>
              <w:rPr>
                <w:rFonts w:ascii="宋体" w:eastAsia="宋体" w:hAnsi="宋体" w:cs="宋体"/>
                <w:sz w:val="18"/>
                <w:szCs w:val="18"/>
              </w:rPr>
            </w:pPr>
            <w:r w:rsidRPr="00B862AA">
              <w:rPr>
                <w:rFonts w:ascii="宋体" w:eastAsia="宋体" w:hAnsi="宋体" w:cs="宋体" w:hint="eastAsia"/>
                <w:sz w:val="18"/>
                <w:szCs w:val="18"/>
              </w:rPr>
              <w:t>对子公司投资</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cs="宋体"/>
                <w:sz w:val="18"/>
                <w:szCs w:val="18"/>
              </w:rPr>
              <w:t xml:space="preserve">          1,236,214,787.30</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cs="宋体"/>
                <w:sz w:val="18"/>
                <w:szCs w:val="18"/>
              </w:rPr>
              <w:t xml:space="preserve">  279,328,923.70</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cs="宋体"/>
                <w:sz w:val="18"/>
                <w:szCs w:val="18"/>
              </w:rPr>
              <w:t>956,885,863.60</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sz w:val="18"/>
                <w:szCs w:val="18"/>
              </w:rPr>
              <w:t xml:space="preserve"> 1,229,539,147.30 </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sz w:val="18"/>
                <w:szCs w:val="18"/>
              </w:rPr>
              <w:t xml:space="preserve"> 279,328,923.70 </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sz w:val="18"/>
                <w:szCs w:val="18"/>
              </w:rPr>
              <w:t xml:space="preserve"> 950,210,223.60 </w:t>
            </w:r>
          </w:p>
        </w:tc>
      </w:tr>
      <w:tr w:rsidR="00D2096A" w:rsidRPr="00B862AA" w:rsidTr="00D2096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D2096A" w:rsidRPr="00B862AA" w:rsidRDefault="00D2096A" w:rsidP="00D2096A">
            <w:pPr>
              <w:spacing w:before="40" w:after="40" w:line="240" w:lineRule="exact"/>
              <w:rPr>
                <w:rFonts w:ascii="宋体" w:eastAsia="宋体" w:hAnsi="宋体" w:cs="宋体"/>
                <w:sz w:val="18"/>
                <w:szCs w:val="18"/>
              </w:rPr>
            </w:pPr>
            <w:r w:rsidRPr="00B862AA">
              <w:rPr>
                <w:rFonts w:ascii="宋体" w:eastAsia="宋体" w:hAnsi="宋体" w:cs="宋体" w:hint="eastAsia"/>
                <w:sz w:val="18"/>
                <w:szCs w:val="18"/>
              </w:rPr>
              <w:t>对联营、合营</w:t>
            </w:r>
            <w:r w:rsidRPr="00B862AA">
              <w:rPr>
                <w:rFonts w:ascii="宋体" w:eastAsia="宋体" w:hAnsi="宋体" w:cs="宋体" w:hint="eastAsia"/>
                <w:sz w:val="18"/>
                <w:szCs w:val="18"/>
              </w:rPr>
              <w:lastRenderedPageBreak/>
              <w:t>企业投资</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cs="宋体"/>
                <w:sz w:val="18"/>
                <w:szCs w:val="18"/>
              </w:rPr>
              <w:lastRenderedPageBreak/>
              <w:t xml:space="preserve">             227,117,276.</w:t>
            </w:r>
            <w:r w:rsidRPr="00B862AA">
              <w:rPr>
                <w:rFonts w:ascii="宋体" w:eastAsia="宋体" w:hAnsi="宋体" w:cs="宋体"/>
                <w:sz w:val="18"/>
                <w:szCs w:val="18"/>
              </w:rPr>
              <w:lastRenderedPageBreak/>
              <w:t>14</w:t>
            </w:r>
          </w:p>
        </w:tc>
        <w:tc>
          <w:tcPr>
            <w:tcW w:w="1378" w:type="dxa"/>
            <w:tcBorders>
              <w:top w:val="single" w:sz="2" w:space="0" w:color="auto"/>
              <w:left w:val="single" w:sz="2" w:space="0" w:color="auto"/>
              <w:bottom w:val="single" w:sz="2" w:space="0" w:color="auto"/>
              <w:right w:val="single" w:sz="2" w:space="0" w:color="auto"/>
            </w:tcBorders>
            <w:vAlign w:val="center"/>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cs="宋体"/>
                <w:sz w:val="18"/>
                <w:szCs w:val="18"/>
              </w:rPr>
              <w:lastRenderedPageBreak/>
              <w:t xml:space="preserve">    37,808,737.5</w:t>
            </w:r>
            <w:r w:rsidRPr="00B862AA">
              <w:rPr>
                <w:rFonts w:ascii="宋体" w:eastAsia="宋体" w:hAnsi="宋体" w:cs="宋体"/>
                <w:sz w:val="18"/>
                <w:szCs w:val="18"/>
              </w:rPr>
              <w:lastRenderedPageBreak/>
              <w:t>9</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cs="宋体"/>
                <w:sz w:val="18"/>
                <w:szCs w:val="18"/>
              </w:rPr>
              <w:lastRenderedPageBreak/>
              <w:t>189,308,538.55</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sz w:val="18"/>
                <w:szCs w:val="18"/>
              </w:rPr>
              <w:t xml:space="preserve"> 243,887,367.</w:t>
            </w:r>
            <w:r w:rsidRPr="00B862AA">
              <w:rPr>
                <w:rFonts w:ascii="宋体" w:eastAsia="宋体" w:hAnsi="宋体"/>
                <w:sz w:val="18"/>
                <w:szCs w:val="18"/>
              </w:rPr>
              <w:lastRenderedPageBreak/>
              <w:t xml:space="preserve">09 </w:t>
            </w:r>
          </w:p>
        </w:tc>
        <w:tc>
          <w:tcPr>
            <w:tcW w:w="1378" w:type="dxa"/>
            <w:tcBorders>
              <w:top w:val="single" w:sz="2" w:space="0" w:color="auto"/>
              <w:left w:val="single" w:sz="2" w:space="0" w:color="auto"/>
              <w:bottom w:val="single" w:sz="2" w:space="0" w:color="auto"/>
              <w:right w:val="single" w:sz="2" w:space="0" w:color="auto"/>
            </w:tcBorders>
            <w:vAlign w:val="center"/>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sz w:val="18"/>
                <w:szCs w:val="18"/>
              </w:rPr>
              <w:lastRenderedPageBreak/>
              <w:t xml:space="preserve"> 37,808,737.5</w:t>
            </w:r>
            <w:r w:rsidRPr="00B862AA">
              <w:rPr>
                <w:rFonts w:ascii="宋体" w:eastAsia="宋体" w:hAnsi="宋体"/>
                <w:sz w:val="18"/>
                <w:szCs w:val="18"/>
              </w:rPr>
              <w:lastRenderedPageBreak/>
              <w:t xml:space="preserve">9 </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sz w:val="18"/>
                <w:szCs w:val="18"/>
              </w:rPr>
              <w:lastRenderedPageBreak/>
              <w:t xml:space="preserve"> 206,078,629.</w:t>
            </w:r>
            <w:r w:rsidRPr="00B862AA">
              <w:rPr>
                <w:rFonts w:ascii="宋体" w:eastAsia="宋体" w:hAnsi="宋体"/>
                <w:sz w:val="18"/>
                <w:szCs w:val="18"/>
              </w:rPr>
              <w:lastRenderedPageBreak/>
              <w:t xml:space="preserve">50 </w:t>
            </w:r>
          </w:p>
        </w:tc>
      </w:tr>
      <w:tr w:rsidR="00D2096A" w:rsidRPr="00B862AA" w:rsidTr="00D2096A">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D2096A" w:rsidRPr="00B862AA" w:rsidRDefault="00D2096A" w:rsidP="00D2096A">
            <w:pPr>
              <w:spacing w:before="40" w:after="40" w:line="240" w:lineRule="exact"/>
              <w:rPr>
                <w:rFonts w:ascii="宋体" w:eastAsia="宋体" w:hAnsi="宋体" w:cs="宋体"/>
                <w:sz w:val="18"/>
                <w:szCs w:val="18"/>
              </w:rPr>
            </w:pPr>
            <w:r w:rsidRPr="00B862AA">
              <w:rPr>
                <w:rFonts w:ascii="宋体" w:eastAsia="宋体" w:hAnsi="宋体" w:cs="宋体" w:hint="eastAsia"/>
                <w:sz w:val="18"/>
                <w:szCs w:val="18"/>
              </w:rPr>
              <w:lastRenderedPageBreak/>
              <w:t>合计</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cs="宋体"/>
                <w:sz w:val="18"/>
                <w:szCs w:val="18"/>
              </w:rPr>
              <w:t>1,463,332,063.44</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cs="宋体"/>
                <w:sz w:val="18"/>
                <w:szCs w:val="18"/>
              </w:rPr>
              <w:t>317,137,661.29</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cs="宋体"/>
                <w:sz w:val="18"/>
                <w:szCs w:val="18"/>
              </w:rPr>
              <w:t>1,146,194,402.15</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color w:val="000000" w:themeColor="text1"/>
                <w:sz w:val="18"/>
                <w:szCs w:val="18"/>
              </w:rPr>
              <w:t>1,473,426,514.39</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color w:val="000000" w:themeColor="text1"/>
                <w:sz w:val="18"/>
                <w:szCs w:val="18"/>
              </w:rPr>
              <w:t>317,137,661.29</w:t>
            </w:r>
          </w:p>
        </w:tc>
        <w:tc>
          <w:tcPr>
            <w:tcW w:w="1378" w:type="dxa"/>
            <w:tcBorders>
              <w:top w:val="single" w:sz="2" w:space="0" w:color="auto"/>
              <w:left w:val="single" w:sz="2" w:space="0" w:color="auto"/>
              <w:bottom w:val="single" w:sz="2" w:space="0" w:color="auto"/>
              <w:right w:val="single" w:sz="2" w:space="0" w:color="auto"/>
            </w:tcBorders>
            <w:vAlign w:val="center"/>
            <w:hideMark/>
          </w:tcPr>
          <w:p w:rsidR="00D2096A" w:rsidRPr="00B862AA" w:rsidRDefault="00D2096A" w:rsidP="00D2096A">
            <w:pPr>
              <w:spacing w:line="240" w:lineRule="exact"/>
              <w:jc w:val="right"/>
              <w:rPr>
                <w:rFonts w:ascii="宋体" w:eastAsia="宋体" w:hAnsi="宋体" w:cs="宋体"/>
                <w:sz w:val="18"/>
                <w:szCs w:val="18"/>
              </w:rPr>
            </w:pPr>
            <w:r w:rsidRPr="00B862AA">
              <w:rPr>
                <w:rFonts w:ascii="宋体" w:eastAsia="宋体" w:hAnsi="宋体"/>
                <w:color w:val="000000" w:themeColor="text1"/>
                <w:sz w:val="18"/>
                <w:szCs w:val="18"/>
              </w:rPr>
              <w:t>1,156,288,853.10</w:t>
            </w:r>
          </w:p>
        </w:tc>
      </w:tr>
    </w:tbl>
    <w:p w:rsidR="00745844" w:rsidRDefault="00745844" w:rsidP="00745844">
      <w:pPr>
        <w:keepNext/>
        <w:keepLines/>
        <w:spacing w:before="300" w:after="300" w:line="280" w:lineRule="exact"/>
        <w:outlineLvl w:val="3"/>
        <w:rPr>
          <w:rFonts w:ascii="宋体" w:eastAsia="宋体" w:hAnsi="宋体" w:cs="宋体"/>
          <w:b/>
          <w:bCs/>
          <w:szCs w:val="21"/>
        </w:rPr>
      </w:pPr>
      <w:bookmarkStart w:id="442" w:name="_Toc989328"/>
      <w:r>
        <w:rPr>
          <w:rFonts w:ascii="宋体" w:eastAsia="宋体" w:hAnsi="宋体" w:cs="宋体" w:hint="eastAsia"/>
          <w:b/>
          <w:bCs/>
          <w:szCs w:val="21"/>
        </w:rPr>
        <w:t>（1） 对子公司投资</w:t>
      </w:r>
      <w:bookmarkEnd w:id="442"/>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71"/>
        <w:gridCol w:w="1071"/>
        <w:gridCol w:w="1071"/>
        <w:gridCol w:w="1072"/>
        <w:gridCol w:w="1072"/>
        <w:gridCol w:w="1072"/>
        <w:gridCol w:w="1072"/>
        <w:gridCol w:w="1072"/>
        <w:gridCol w:w="1072"/>
      </w:tblGrid>
      <w:tr w:rsidR="00745844" w:rsidTr="009C684B">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被投资单位</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期初余额（账面价值）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减值准备期初余额</w:t>
            </w:r>
          </w:p>
        </w:tc>
        <w:tc>
          <w:tcPr>
            <w:tcW w:w="4288" w:type="dxa"/>
            <w:gridSpan w:val="4"/>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本期增减变动</w:t>
            </w:r>
          </w:p>
        </w:tc>
        <w:tc>
          <w:tcPr>
            <w:tcW w:w="1072"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期末余额（账面价值）</w:t>
            </w:r>
          </w:p>
        </w:tc>
        <w:tc>
          <w:tcPr>
            <w:tcW w:w="1072"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减值准备期末余额</w:t>
            </w:r>
          </w:p>
        </w:tc>
      </w:tr>
      <w:tr w:rsidR="00745844" w:rsidTr="009C684B">
        <w:trPr>
          <w:trHeight w:val="240"/>
        </w:trPr>
        <w:tc>
          <w:tcPr>
            <w:tcW w:w="1071"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071"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071"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追加投资</w:t>
            </w:r>
          </w:p>
        </w:tc>
        <w:tc>
          <w:tcPr>
            <w:tcW w:w="107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减少投资</w:t>
            </w:r>
          </w:p>
        </w:tc>
        <w:tc>
          <w:tcPr>
            <w:tcW w:w="107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计提减值准备</w:t>
            </w:r>
          </w:p>
        </w:tc>
        <w:tc>
          <w:tcPr>
            <w:tcW w:w="107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其他</w:t>
            </w:r>
          </w:p>
        </w:tc>
        <w:tc>
          <w:tcPr>
            <w:tcW w:w="1072"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072"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r>
      <w:tr w:rsidR="00745844" w:rsidTr="009C684B">
        <w:trPr>
          <w:trHeight w:val="240"/>
        </w:trPr>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沈阳含能金属材料制造有限公司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77,490,148.06</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279,328,923.70</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77,490,148.06</w:t>
            </w: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279,328,923.70</w:t>
            </w:r>
          </w:p>
        </w:tc>
      </w:tr>
      <w:tr w:rsidR="00745844" w:rsidTr="009C684B">
        <w:trPr>
          <w:trHeight w:val="240"/>
        </w:trPr>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四川升华电源科技有限公司</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712,117,538.03</w:t>
            </w:r>
          </w:p>
        </w:tc>
        <w:tc>
          <w:tcPr>
            <w:tcW w:w="107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712,117,538.03</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9C684B">
        <w:trPr>
          <w:trHeight w:val="240"/>
        </w:trPr>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江门德</w:t>
            </w:r>
            <w:proofErr w:type="gramStart"/>
            <w:r>
              <w:rPr>
                <w:rFonts w:ascii="宋体" w:eastAsia="宋体" w:hAnsi="宋体" w:cs="宋体" w:hint="eastAsia"/>
                <w:sz w:val="18"/>
                <w:szCs w:val="18"/>
              </w:rPr>
              <w:t>钰隽龚</w:t>
            </w:r>
            <w:proofErr w:type="gramEnd"/>
            <w:r>
              <w:rPr>
                <w:rFonts w:ascii="宋体" w:eastAsia="宋体" w:hAnsi="宋体" w:cs="宋体" w:hint="eastAsia"/>
                <w:sz w:val="18"/>
                <w:szCs w:val="18"/>
              </w:rPr>
              <w:t>股权投资合伙企业（有限合伙）</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38,000,000.00</w:t>
            </w:r>
          </w:p>
        </w:tc>
        <w:tc>
          <w:tcPr>
            <w:tcW w:w="107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900,000.00</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38,900,000.00</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9C684B">
        <w:trPr>
          <w:trHeight w:val="240"/>
        </w:trPr>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四川甘华电源科技有限公司</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20,002,537.51</w:t>
            </w:r>
          </w:p>
        </w:tc>
        <w:tc>
          <w:tcPr>
            <w:tcW w:w="107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5,000,000.00</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25,002,537.51</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9C684B">
        <w:trPr>
          <w:trHeight w:val="240"/>
        </w:trPr>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江门甘科物业管理有限公司</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500,000.00</w:t>
            </w:r>
          </w:p>
        </w:tc>
        <w:tc>
          <w:tcPr>
            <w:tcW w:w="107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500,000.00</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1,000,000.00</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9C684B">
        <w:trPr>
          <w:trHeight w:val="240"/>
        </w:trPr>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沈阳非晶金属材料制造有限公司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40,000,000.00</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9C684B">
        <w:trPr>
          <w:trHeight w:val="240"/>
        </w:trPr>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福建将乐卓越金属材料有限公司</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42,000,000.00</w:t>
            </w:r>
          </w:p>
        </w:tc>
        <w:tc>
          <w:tcPr>
            <w:tcW w:w="107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42,000,000.00</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9C684B">
        <w:trPr>
          <w:trHeight w:val="240"/>
        </w:trPr>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沈阳超能新材科技有限公司</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20,100,000.00</w:t>
            </w:r>
          </w:p>
        </w:tc>
        <w:tc>
          <w:tcPr>
            <w:tcW w:w="107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20,100,000.00</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9C684B">
        <w:trPr>
          <w:trHeight w:val="240"/>
        </w:trPr>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汇德国际投资有限公司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275,640.00</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275,640.00</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9C684B">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D2096A">
            <w:pPr>
              <w:spacing w:line="240" w:lineRule="exact"/>
              <w:jc w:val="right"/>
              <w:rPr>
                <w:rFonts w:ascii="宋体" w:eastAsia="宋体" w:hAnsi="宋体" w:cs="宋体"/>
                <w:sz w:val="18"/>
                <w:szCs w:val="18"/>
              </w:rPr>
            </w:pPr>
            <w:r w:rsidRPr="00D2096A">
              <w:rPr>
                <w:rFonts w:ascii="宋体" w:eastAsia="宋体" w:hAnsi="宋体" w:cs="宋体"/>
                <w:sz w:val="18"/>
                <w:szCs w:val="18"/>
              </w:rPr>
              <w:t>950,210,223.60</w:t>
            </w:r>
          </w:p>
        </w:tc>
        <w:tc>
          <w:tcPr>
            <w:tcW w:w="1071" w:type="dxa"/>
            <w:tcBorders>
              <w:top w:val="single" w:sz="2" w:space="0" w:color="auto"/>
              <w:left w:val="single" w:sz="2" w:space="0" w:color="auto"/>
              <w:bottom w:val="single" w:sz="2" w:space="0" w:color="auto"/>
              <w:right w:val="single" w:sz="2" w:space="0" w:color="auto"/>
            </w:tcBorders>
            <w:vAlign w:val="center"/>
            <w:hideMark/>
          </w:tcPr>
          <w:p w:rsidR="00745844" w:rsidRDefault="00D2096A">
            <w:pPr>
              <w:spacing w:line="240" w:lineRule="exact"/>
              <w:jc w:val="right"/>
              <w:rPr>
                <w:rFonts w:ascii="宋体" w:eastAsia="宋体" w:hAnsi="宋体" w:cs="宋体"/>
                <w:sz w:val="18"/>
                <w:szCs w:val="18"/>
              </w:rPr>
            </w:pPr>
            <w:r w:rsidRPr="00D2096A">
              <w:rPr>
                <w:rFonts w:ascii="宋体" w:eastAsia="宋体" w:hAnsi="宋体" w:cs="宋体"/>
                <w:sz w:val="18"/>
                <w:szCs w:val="18"/>
              </w:rPr>
              <w:t>279,328,923.70</w:t>
            </w: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D2096A">
            <w:pPr>
              <w:spacing w:line="240" w:lineRule="exact"/>
              <w:jc w:val="right"/>
              <w:rPr>
                <w:rFonts w:ascii="宋体" w:eastAsia="宋体" w:hAnsi="宋体" w:cs="宋体"/>
                <w:sz w:val="18"/>
                <w:szCs w:val="18"/>
              </w:rPr>
            </w:pPr>
            <w:r w:rsidRPr="00D2096A">
              <w:rPr>
                <w:rFonts w:ascii="宋体" w:eastAsia="宋体" w:hAnsi="宋体" w:cs="宋体"/>
                <w:sz w:val="18"/>
                <w:szCs w:val="18"/>
              </w:rPr>
              <w:t>6,675,640.00</w:t>
            </w: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956,885,863.60</w:t>
            </w:r>
          </w:p>
        </w:tc>
        <w:tc>
          <w:tcPr>
            <w:tcW w:w="1072" w:type="dxa"/>
            <w:tcBorders>
              <w:top w:val="single" w:sz="2" w:space="0" w:color="auto"/>
              <w:left w:val="single" w:sz="2" w:space="0" w:color="auto"/>
              <w:bottom w:val="single" w:sz="2" w:space="0" w:color="auto"/>
              <w:right w:val="single" w:sz="2" w:space="0" w:color="auto"/>
            </w:tcBorders>
            <w:vAlign w:val="center"/>
            <w:hideMark/>
          </w:tcPr>
          <w:p w:rsidR="00745844" w:rsidRDefault="00D2096A">
            <w:pPr>
              <w:spacing w:line="240" w:lineRule="exact"/>
              <w:jc w:val="right"/>
              <w:rPr>
                <w:rFonts w:ascii="宋体" w:eastAsia="宋体" w:hAnsi="宋体" w:cs="宋体"/>
                <w:sz w:val="18"/>
                <w:szCs w:val="18"/>
              </w:rPr>
            </w:pPr>
            <w:r w:rsidRPr="00D2096A">
              <w:rPr>
                <w:rFonts w:ascii="宋体" w:eastAsia="宋体" w:hAnsi="宋体" w:cs="宋体"/>
                <w:sz w:val="18"/>
                <w:szCs w:val="18"/>
              </w:rPr>
              <w:t>279,328,923.70</w:t>
            </w:r>
          </w:p>
        </w:tc>
      </w:tr>
    </w:tbl>
    <w:p w:rsidR="00745844" w:rsidRDefault="00745844" w:rsidP="00745844">
      <w:pPr>
        <w:keepNext/>
        <w:keepLines/>
        <w:spacing w:before="300" w:after="300" w:line="280" w:lineRule="exact"/>
        <w:outlineLvl w:val="3"/>
        <w:rPr>
          <w:rFonts w:ascii="宋体" w:eastAsia="宋体" w:hAnsi="宋体" w:cs="宋体"/>
          <w:b/>
          <w:bCs/>
          <w:szCs w:val="21"/>
        </w:rPr>
      </w:pPr>
      <w:bookmarkStart w:id="443" w:name="_Toc989329"/>
      <w:r>
        <w:rPr>
          <w:rFonts w:ascii="宋体" w:eastAsia="宋体" w:hAnsi="宋体" w:cs="宋体" w:hint="eastAsia"/>
          <w:b/>
          <w:bCs/>
          <w:szCs w:val="21"/>
        </w:rPr>
        <w:t>（2） 对联营、合营企业投资</w:t>
      </w:r>
      <w:bookmarkEnd w:id="443"/>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2"/>
        <w:gridCol w:w="742"/>
        <w:gridCol w:w="742"/>
        <w:gridCol w:w="742"/>
        <w:gridCol w:w="742"/>
        <w:gridCol w:w="742"/>
        <w:gridCol w:w="741"/>
        <w:gridCol w:w="741"/>
        <w:gridCol w:w="741"/>
        <w:gridCol w:w="741"/>
        <w:gridCol w:w="745"/>
        <w:gridCol w:w="741"/>
        <w:gridCol w:w="743"/>
      </w:tblGrid>
      <w:tr w:rsidR="00745844" w:rsidTr="006C73A7">
        <w:trPr>
          <w:trHeight w:val="240"/>
        </w:trPr>
        <w:tc>
          <w:tcPr>
            <w:tcW w:w="742"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被投资单位</w:t>
            </w:r>
          </w:p>
        </w:tc>
        <w:tc>
          <w:tcPr>
            <w:tcW w:w="742"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期初余额（账面价值）</w:t>
            </w:r>
          </w:p>
        </w:tc>
        <w:tc>
          <w:tcPr>
            <w:tcW w:w="742"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减值准备期初余额</w:t>
            </w:r>
          </w:p>
        </w:tc>
        <w:tc>
          <w:tcPr>
            <w:tcW w:w="5935" w:type="dxa"/>
            <w:gridSpan w:val="8"/>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期末余额（账面价值）</w:t>
            </w:r>
          </w:p>
        </w:tc>
        <w:tc>
          <w:tcPr>
            <w:tcW w:w="743"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减值准备期末余额</w:t>
            </w:r>
          </w:p>
        </w:tc>
      </w:tr>
      <w:tr w:rsidR="00745844" w:rsidTr="006C73A7">
        <w:trPr>
          <w:trHeight w:val="240"/>
        </w:trPr>
        <w:tc>
          <w:tcPr>
            <w:tcW w:w="742"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742"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742"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追加投资</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减少投资</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权益法下确认的投资损</w:t>
            </w:r>
            <w:r>
              <w:rPr>
                <w:rFonts w:ascii="宋体" w:eastAsia="宋体" w:hAnsi="宋体" w:cs="宋体" w:hint="eastAsia"/>
                <w:sz w:val="18"/>
                <w:szCs w:val="18"/>
              </w:rPr>
              <w:lastRenderedPageBreak/>
              <w:t>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lastRenderedPageBreak/>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宣告发放现金股利或利</w:t>
            </w:r>
            <w:r>
              <w:rPr>
                <w:rFonts w:ascii="宋体" w:eastAsia="宋体" w:hAnsi="宋体" w:cs="宋体" w:hint="eastAsia"/>
                <w:sz w:val="18"/>
                <w:szCs w:val="18"/>
              </w:rPr>
              <w:lastRenderedPageBreak/>
              <w:t>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lastRenderedPageBreak/>
              <w:t>计提减值准备</w:t>
            </w:r>
          </w:p>
        </w:tc>
        <w:tc>
          <w:tcPr>
            <w:tcW w:w="74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其他</w:t>
            </w:r>
          </w:p>
        </w:tc>
        <w:tc>
          <w:tcPr>
            <w:tcW w:w="741"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743"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r>
      <w:tr w:rsidR="00745844" w:rsidTr="006C73A7">
        <w:trPr>
          <w:trHeight w:val="240"/>
        </w:trPr>
        <w:tc>
          <w:tcPr>
            <w:tcW w:w="9645" w:type="dxa"/>
            <w:gridSpan w:val="13"/>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lastRenderedPageBreak/>
              <w:t>一、合营企业</w:t>
            </w:r>
          </w:p>
        </w:tc>
      </w:tr>
      <w:tr w:rsidR="00745844" w:rsidTr="006C73A7">
        <w:trPr>
          <w:trHeight w:val="240"/>
        </w:trPr>
        <w:tc>
          <w:tcPr>
            <w:tcW w:w="9645" w:type="dxa"/>
            <w:gridSpan w:val="13"/>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二、联营企业</w:t>
            </w:r>
          </w:p>
        </w:tc>
      </w:tr>
      <w:tr w:rsidR="00745844" w:rsidTr="00487F2B">
        <w:trPr>
          <w:trHeight w:val="240"/>
        </w:trPr>
        <w:tc>
          <w:tcPr>
            <w:tcW w:w="74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苏州锴威特半导体股份有限公司</w:t>
            </w:r>
          </w:p>
        </w:tc>
        <w:tc>
          <w:tcPr>
            <w:tcW w:w="74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206,078,629.50</w:t>
            </w:r>
          </w:p>
        </w:tc>
        <w:tc>
          <w:tcPr>
            <w:tcW w:w="74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hideMark/>
          </w:tcPr>
          <w:p w:rsidR="00745844" w:rsidRDefault="006C73A7">
            <w:pPr>
              <w:spacing w:line="240" w:lineRule="exact"/>
              <w:jc w:val="right"/>
              <w:rPr>
                <w:rFonts w:ascii="宋体" w:eastAsia="宋体" w:hAnsi="宋体" w:cs="宋体"/>
                <w:sz w:val="18"/>
                <w:szCs w:val="18"/>
              </w:rPr>
            </w:pPr>
            <w:r w:rsidRPr="006C73A7">
              <w:rPr>
                <w:rFonts w:ascii="宋体" w:eastAsia="宋体" w:hAnsi="宋体" w:cs="宋体"/>
                <w:sz w:val="18"/>
                <w:szCs w:val="18"/>
              </w:rPr>
              <w:t>-13,920,182.63</w:t>
            </w:r>
          </w:p>
        </w:tc>
        <w:tc>
          <w:tcPr>
            <w:tcW w:w="74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2,849,908.32</w:t>
            </w:r>
          </w:p>
        </w:tc>
        <w:tc>
          <w:tcPr>
            <w:tcW w:w="74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6C73A7">
            <w:pPr>
              <w:spacing w:line="240" w:lineRule="exact"/>
              <w:jc w:val="right"/>
              <w:rPr>
                <w:rFonts w:ascii="宋体" w:eastAsia="宋体" w:hAnsi="宋体" w:cs="宋体"/>
                <w:sz w:val="18"/>
                <w:szCs w:val="18"/>
              </w:rPr>
            </w:pPr>
            <w:r w:rsidRPr="006C73A7">
              <w:rPr>
                <w:rFonts w:ascii="宋体" w:eastAsia="宋体" w:hAnsi="宋体" w:cs="宋体"/>
                <w:sz w:val="18"/>
                <w:szCs w:val="18"/>
              </w:rPr>
              <w:t>189,308,538.55</w:t>
            </w:r>
          </w:p>
        </w:tc>
        <w:tc>
          <w:tcPr>
            <w:tcW w:w="743"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6C73A7" w:rsidRPr="00487F2B" w:rsidTr="00487F2B">
        <w:trPr>
          <w:trHeight w:val="240"/>
        </w:trPr>
        <w:tc>
          <w:tcPr>
            <w:tcW w:w="742" w:type="dxa"/>
            <w:tcBorders>
              <w:top w:val="single" w:sz="2" w:space="0" w:color="auto"/>
              <w:left w:val="single" w:sz="2" w:space="0" w:color="auto"/>
              <w:bottom w:val="single" w:sz="2" w:space="0" w:color="auto"/>
              <w:right w:val="single" w:sz="2" w:space="0" w:color="auto"/>
            </w:tcBorders>
            <w:shd w:val="clear" w:color="auto" w:fill="FFFFFF" w:themeFill="background1"/>
          </w:tcPr>
          <w:p w:rsidR="006C73A7" w:rsidRDefault="006C73A7" w:rsidP="00487F2B">
            <w:pPr>
              <w:spacing w:line="240" w:lineRule="exact"/>
              <w:rPr>
                <w:rFonts w:ascii="宋体" w:eastAsia="宋体" w:hAnsi="宋体" w:cs="宋体"/>
                <w:sz w:val="18"/>
                <w:szCs w:val="18"/>
              </w:rPr>
            </w:pPr>
            <w:r w:rsidRPr="009910CC">
              <w:rPr>
                <w:rFonts w:ascii="宋体" w:eastAsia="宋体" w:hAnsi="宋体" w:cs="宋体" w:hint="eastAsia"/>
                <w:sz w:val="18"/>
                <w:szCs w:val="18"/>
              </w:rPr>
              <w:t>江门机械厂</w:t>
            </w:r>
          </w:p>
        </w:tc>
        <w:tc>
          <w:tcPr>
            <w:tcW w:w="742" w:type="dxa"/>
            <w:tcBorders>
              <w:top w:val="single" w:sz="2" w:space="0" w:color="auto"/>
              <w:left w:val="single" w:sz="2" w:space="0" w:color="auto"/>
              <w:bottom w:val="single" w:sz="2" w:space="0" w:color="auto"/>
              <w:right w:val="single" w:sz="2" w:space="0" w:color="auto"/>
            </w:tcBorders>
          </w:tcPr>
          <w:p w:rsidR="006C73A7" w:rsidRDefault="006C73A7" w:rsidP="006C73A7">
            <w:pPr>
              <w:spacing w:line="240" w:lineRule="exact"/>
              <w:jc w:val="right"/>
              <w:rPr>
                <w:rFonts w:ascii="宋体" w:eastAsia="宋体" w:hAnsi="宋体" w:cs="宋体"/>
                <w:sz w:val="18"/>
                <w:szCs w:val="18"/>
              </w:rPr>
            </w:pPr>
            <w:r w:rsidRPr="00155A3C">
              <w:t>-</w:t>
            </w:r>
          </w:p>
        </w:tc>
        <w:tc>
          <w:tcPr>
            <w:tcW w:w="742" w:type="dxa"/>
            <w:tcBorders>
              <w:top w:val="single" w:sz="2" w:space="0" w:color="auto"/>
              <w:left w:val="single" w:sz="2" w:space="0" w:color="auto"/>
              <w:bottom w:val="single" w:sz="2" w:space="0" w:color="auto"/>
              <w:right w:val="single" w:sz="2" w:space="0" w:color="auto"/>
            </w:tcBorders>
          </w:tcPr>
          <w:p w:rsidR="006C73A7" w:rsidRDefault="006C73A7" w:rsidP="006C73A7">
            <w:pPr>
              <w:spacing w:line="240" w:lineRule="exact"/>
              <w:jc w:val="right"/>
              <w:rPr>
                <w:rFonts w:ascii="宋体" w:eastAsia="宋体" w:hAnsi="宋体" w:cs="宋体"/>
                <w:sz w:val="18"/>
                <w:szCs w:val="18"/>
              </w:rPr>
            </w:pPr>
            <w:r w:rsidRPr="00487F2B">
              <w:rPr>
                <w:rFonts w:ascii="宋体" w:eastAsia="宋体" w:hAnsi="宋体" w:cs="宋体"/>
                <w:sz w:val="18"/>
                <w:szCs w:val="18"/>
              </w:rPr>
              <w:t>37,808,737.59</w:t>
            </w:r>
          </w:p>
        </w:tc>
        <w:tc>
          <w:tcPr>
            <w:tcW w:w="742" w:type="dxa"/>
            <w:tcBorders>
              <w:top w:val="single" w:sz="2" w:space="0" w:color="auto"/>
              <w:left w:val="single" w:sz="2" w:space="0" w:color="auto"/>
              <w:bottom w:val="single" w:sz="2" w:space="0" w:color="auto"/>
              <w:right w:val="single" w:sz="2" w:space="0" w:color="auto"/>
            </w:tcBorders>
          </w:tcPr>
          <w:p w:rsidR="006C73A7" w:rsidRDefault="006C73A7" w:rsidP="006C73A7">
            <w:pPr>
              <w:spacing w:line="240" w:lineRule="exact"/>
              <w:jc w:val="right"/>
              <w:rPr>
                <w:rFonts w:ascii="宋体" w:eastAsia="宋体" w:hAnsi="宋体" w:cs="宋体"/>
                <w:sz w:val="18"/>
                <w:szCs w:val="18"/>
              </w:rPr>
            </w:pPr>
            <w:r w:rsidRPr="00155A3C">
              <w:t>-</w:t>
            </w:r>
          </w:p>
        </w:tc>
        <w:tc>
          <w:tcPr>
            <w:tcW w:w="742" w:type="dxa"/>
            <w:tcBorders>
              <w:top w:val="single" w:sz="2" w:space="0" w:color="auto"/>
              <w:left w:val="single" w:sz="2" w:space="0" w:color="auto"/>
              <w:bottom w:val="single" w:sz="2" w:space="0" w:color="auto"/>
              <w:right w:val="single" w:sz="2" w:space="0" w:color="auto"/>
            </w:tcBorders>
          </w:tcPr>
          <w:p w:rsidR="006C73A7" w:rsidRDefault="006C73A7" w:rsidP="006C73A7">
            <w:pPr>
              <w:spacing w:line="240" w:lineRule="exact"/>
              <w:jc w:val="right"/>
              <w:rPr>
                <w:rFonts w:ascii="宋体" w:eastAsia="宋体" w:hAnsi="宋体" w:cs="宋体"/>
                <w:sz w:val="18"/>
                <w:szCs w:val="18"/>
              </w:rPr>
            </w:pPr>
            <w:r w:rsidRPr="00155A3C">
              <w:t>-</w:t>
            </w:r>
          </w:p>
        </w:tc>
        <w:tc>
          <w:tcPr>
            <w:tcW w:w="742" w:type="dxa"/>
            <w:tcBorders>
              <w:top w:val="single" w:sz="2" w:space="0" w:color="auto"/>
              <w:left w:val="single" w:sz="2" w:space="0" w:color="auto"/>
              <w:bottom w:val="single" w:sz="2" w:space="0" w:color="auto"/>
              <w:right w:val="single" w:sz="2" w:space="0" w:color="auto"/>
            </w:tcBorders>
          </w:tcPr>
          <w:p w:rsidR="006C73A7" w:rsidRDefault="006C73A7" w:rsidP="006C73A7">
            <w:pPr>
              <w:spacing w:line="240" w:lineRule="exact"/>
              <w:jc w:val="right"/>
              <w:rPr>
                <w:rFonts w:ascii="宋体" w:eastAsia="宋体" w:hAnsi="宋体" w:cs="宋体"/>
                <w:sz w:val="18"/>
                <w:szCs w:val="18"/>
              </w:rPr>
            </w:pPr>
            <w:r w:rsidRPr="00155A3C">
              <w:t>-</w:t>
            </w:r>
          </w:p>
        </w:tc>
        <w:tc>
          <w:tcPr>
            <w:tcW w:w="741" w:type="dxa"/>
            <w:tcBorders>
              <w:top w:val="single" w:sz="2" w:space="0" w:color="auto"/>
              <w:left w:val="single" w:sz="2" w:space="0" w:color="auto"/>
              <w:bottom w:val="single" w:sz="2" w:space="0" w:color="auto"/>
              <w:right w:val="single" w:sz="2" w:space="0" w:color="auto"/>
            </w:tcBorders>
          </w:tcPr>
          <w:p w:rsidR="006C73A7" w:rsidRDefault="006C73A7" w:rsidP="006C73A7">
            <w:pPr>
              <w:spacing w:line="240" w:lineRule="exact"/>
              <w:jc w:val="right"/>
              <w:rPr>
                <w:rFonts w:ascii="宋体" w:eastAsia="宋体" w:hAnsi="宋体" w:cs="宋体"/>
                <w:sz w:val="18"/>
                <w:szCs w:val="18"/>
              </w:rPr>
            </w:pPr>
            <w:r w:rsidRPr="00155A3C">
              <w:t>-</w:t>
            </w:r>
          </w:p>
        </w:tc>
        <w:tc>
          <w:tcPr>
            <w:tcW w:w="741" w:type="dxa"/>
            <w:tcBorders>
              <w:top w:val="single" w:sz="2" w:space="0" w:color="auto"/>
              <w:left w:val="single" w:sz="2" w:space="0" w:color="auto"/>
              <w:bottom w:val="single" w:sz="2" w:space="0" w:color="auto"/>
              <w:right w:val="single" w:sz="2" w:space="0" w:color="auto"/>
            </w:tcBorders>
          </w:tcPr>
          <w:p w:rsidR="006C73A7" w:rsidRDefault="006C73A7" w:rsidP="006C73A7">
            <w:pPr>
              <w:spacing w:line="240" w:lineRule="exact"/>
              <w:jc w:val="right"/>
              <w:rPr>
                <w:rFonts w:ascii="宋体" w:eastAsia="宋体" w:hAnsi="宋体" w:cs="宋体"/>
                <w:sz w:val="18"/>
                <w:szCs w:val="18"/>
              </w:rPr>
            </w:pPr>
            <w:r w:rsidRPr="00155A3C">
              <w:t>-</w:t>
            </w:r>
          </w:p>
        </w:tc>
        <w:tc>
          <w:tcPr>
            <w:tcW w:w="741" w:type="dxa"/>
            <w:tcBorders>
              <w:top w:val="single" w:sz="2" w:space="0" w:color="auto"/>
              <w:left w:val="single" w:sz="2" w:space="0" w:color="auto"/>
              <w:bottom w:val="single" w:sz="2" w:space="0" w:color="auto"/>
              <w:right w:val="single" w:sz="2" w:space="0" w:color="auto"/>
            </w:tcBorders>
          </w:tcPr>
          <w:p w:rsidR="006C73A7" w:rsidRDefault="006C73A7" w:rsidP="006C73A7">
            <w:pPr>
              <w:spacing w:line="240" w:lineRule="exact"/>
              <w:jc w:val="right"/>
              <w:rPr>
                <w:rFonts w:ascii="宋体" w:eastAsia="宋体" w:hAnsi="宋体" w:cs="宋体"/>
                <w:sz w:val="18"/>
                <w:szCs w:val="18"/>
              </w:rPr>
            </w:pPr>
            <w:r w:rsidRPr="00155A3C">
              <w:t>-</w:t>
            </w:r>
          </w:p>
        </w:tc>
        <w:tc>
          <w:tcPr>
            <w:tcW w:w="741" w:type="dxa"/>
            <w:tcBorders>
              <w:top w:val="single" w:sz="2" w:space="0" w:color="auto"/>
              <w:left w:val="single" w:sz="2" w:space="0" w:color="auto"/>
              <w:bottom w:val="single" w:sz="2" w:space="0" w:color="auto"/>
              <w:right w:val="single" w:sz="2" w:space="0" w:color="auto"/>
            </w:tcBorders>
          </w:tcPr>
          <w:p w:rsidR="006C73A7" w:rsidRDefault="006C73A7" w:rsidP="006C73A7">
            <w:pPr>
              <w:spacing w:line="240" w:lineRule="exact"/>
              <w:jc w:val="right"/>
              <w:rPr>
                <w:rFonts w:ascii="宋体" w:eastAsia="宋体" w:hAnsi="宋体" w:cs="宋体"/>
                <w:sz w:val="18"/>
                <w:szCs w:val="18"/>
              </w:rPr>
            </w:pPr>
            <w:r w:rsidRPr="00155A3C">
              <w:t>-</w:t>
            </w:r>
          </w:p>
        </w:tc>
        <w:tc>
          <w:tcPr>
            <w:tcW w:w="745" w:type="dxa"/>
            <w:tcBorders>
              <w:top w:val="single" w:sz="2" w:space="0" w:color="auto"/>
              <w:left w:val="single" w:sz="2" w:space="0" w:color="auto"/>
              <w:bottom w:val="single" w:sz="2" w:space="0" w:color="auto"/>
              <w:right w:val="single" w:sz="2" w:space="0" w:color="auto"/>
            </w:tcBorders>
          </w:tcPr>
          <w:p w:rsidR="006C73A7" w:rsidRDefault="006C73A7" w:rsidP="006C73A7">
            <w:pPr>
              <w:spacing w:line="240" w:lineRule="exact"/>
              <w:jc w:val="right"/>
              <w:rPr>
                <w:rFonts w:ascii="宋体" w:eastAsia="宋体" w:hAnsi="宋体" w:cs="宋体"/>
                <w:sz w:val="18"/>
                <w:szCs w:val="18"/>
              </w:rPr>
            </w:pPr>
            <w:r w:rsidRPr="00155A3C">
              <w:t>-</w:t>
            </w:r>
          </w:p>
        </w:tc>
        <w:tc>
          <w:tcPr>
            <w:tcW w:w="741" w:type="dxa"/>
            <w:tcBorders>
              <w:top w:val="single" w:sz="2" w:space="0" w:color="auto"/>
              <w:left w:val="single" w:sz="2" w:space="0" w:color="auto"/>
              <w:bottom w:val="single" w:sz="2" w:space="0" w:color="auto"/>
              <w:right w:val="single" w:sz="2" w:space="0" w:color="auto"/>
            </w:tcBorders>
          </w:tcPr>
          <w:p w:rsidR="006C73A7" w:rsidRDefault="006C73A7" w:rsidP="006C73A7">
            <w:pPr>
              <w:spacing w:line="240" w:lineRule="exact"/>
              <w:jc w:val="right"/>
              <w:rPr>
                <w:rFonts w:ascii="宋体" w:eastAsia="宋体" w:hAnsi="宋体" w:cs="宋体"/>
                <w:sz w:val="18"/>
                <w:szCs w:val="18"/>
              </w:rPr>
            </w:pPr>
            <w:r w:rsidRPr="00155A3C">
              <w:t>-</w:t>
            </w:r>
          </w:p>
        </w:tc>
        <w:tc>
          <w:tcPr>
            <w:tcW w:w="743" w:type="dxa"/>
            <w:tcBorders>
              <w:top w:val="single" w:sz="2" w:space="0" w:color="auto"/>
              <w:left w:val="single" w:sz="2" w:space="0" w:color="auto"/>
              <w:bottom w:val="single" w:sz="2" w:space="0" w:color="auto"/>
              <w:right w:val="single" w:sz="2" w:space="0" w:color="auto"/>
            </w:tcBorders>
          </w:tcPr>
          <w:p w:rsidR="006C73A7" w:rsidRDefault="006C73A7" w:rsidP="006C73A7">
            <w:pPr>
              <w:spacing w:line="240" w:lineRule="exact"/>
              <w:jc w:val="right"/>
              <w:rPr>
                <w:rFonts w:ascii="宋体" w:eastAsia="宋体" w:hAnsi="宋体" w:cs="宋体"/>
                <w:sz w:val="18"/>
                <w:szCs w:val="18"/>
              </w:rPr>
            </w:pPr>
            <w:r w:rsidRPr="00487F2B">
              <w:rPr>
                <w:rFonts w:ascii="宋体" w:eastAsia="宋体" w:hAnsi="宋体" w:cs="宋体"/>
                <w:sz w:val="18"/>
                <w:szCs w:val="18"/>
              </w:rPr>
              <w:t>37,808,737.59</w:t>
            </w:r>
          </w:p>
        </w:tc>
      </w:tr>
      <w:tr w:rsidR="00745844" w:rsidTr="006C73A7">
        <w:trPr>
          <w:trHeight w:val="240"/>
        </w:trPr>
        <w:tc>
          <w:tcPr>
            <w:tcW w:w="7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小计</w:t>
            </w:r>
          </w:p>
        </w:tc>
        <w:tc>
          <w:tcPr>
            <w:tcW w:w="74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206,078,629.50</w:t>
            </w:r>
          </w:p>
        </w:tc>
        <w:tc>
          <w:tcPr>
            <w:tcW w:w="742" w:type="dxa"/>
            <w:tcBorders>
              <w:top w:val="single" w:sz="2" w:space="0" w:color="auto"/>
              <w:left w:val="single" w:sz="2" w:space="0" w:color="auto"/>
              <w:bottom w:val="single" w:sz="2" w:space="0" w:color="auto"/>
              <w:right w:val="single" w:sz="2" w:space="0" w:color="auto"/>
            </w:tcBorders>
            <w:vAlign w:val="center"/>
          </w:tcPr>
          <w:p w:rsidR="00745844" w:rsidRDefault="006C73A7">
            <w:pPr>
              <w:spacing w:line="240" w:lineRule="exact"/>
              <w:jc w:val="right"/>
              <w:rPr>
                <w:rFonts w:ascii="宋体" w:eastAsia="宋体" w:hAnsi="宋体" w:cs="宋体"/>
                <w:sz w:val="18"/>
                <w:szCs w:val="18"/>
              </w:rPr>
            </w:pPr>
            <w:r w:rsidRPr="006C73A7">
              <w:rPr>
                <w:rFonts w:ascii="宋体" w:eastAsia="宋体" w:hAnsi="宋体" w:cs="宋体"/>
                <w:sz w:val="18"/>
                <w:szCs w:val="18"/>
              </w:rPr>
              <w:t>37,808,737.59</w:t>
            </w:r>
          </w:p>
        </w:tc>
        <w:tc>
          <w:tcPr>
            <w:tcW w:w="74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hideMark/>
          </w:tcPr>
          <w:p w:rsidR="00745844" w:rsidRDefault="006C73A7">
            <w:pPr>
              <w:spacing w:line="240" w:lineRule="exact"/>
              <w:jc w:val="right"/>
              <w:rPr>
                <w:rFonts w:ascii="宋体" w:eastAsia="宋体" w:hAnsi="宋体" w:cs="宋体"/>
                <w:sz w:val="18"/>
                <w:szCs w:val="18"/>
              </w:rPr>
            </w:pPr>
            <w:r w:rsidRPr="006C73A7">
              <w:rPr>
                <w:rFonts w:ascii="宋体" w:eastAsia="宋体" w:hAnsi="宋体" w:cs="宋体"/>
                <w:sz w:val="18"/>
                <w:szCs w:val="18"/>
              </w:rPr>
              <w:t>-13,920,182.63</w:t>
            </w:r>
          </w:p>
        </w:tc>
        <w:tc>
          <w:tcPr>
            <w:tcW w:w="74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2,849,908.32</w:t>
            </w:r>
          </w:p>
        </w:tc>
        <w:tc>
          <w:tcPr>
            <w:tcW w:w="74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6C73A7">
            <w:pPr>
              <w:spacing w:line="240" w:lineRule="exact"/>
              <w:jc w:val="right"/>
              <w:rPr>
                <w:rFonts w:ascii="宋体" w:eastAsia="宋体" w:hAnsi="宋体" w:cs="宋体"/>
                <w:sz w:val="18"/>
                <w:szCs w:val="18"/>
              </w:rPr>
            </w:pPr>
            <w:r w:rsidRPr="006C73A7">
              <w:rPr>
                <w:rFonts w:ascii="宋体" w:eastAsia="宋体" w:hAnsi="宋体" w:cs="宋体"/>
                <w:sz w:val="18"/>
                <w:szCs w:val="18"/>
              </w:rPr>
              <w:t>189,308,538.55</w:t>
            </w:r>
          </w:p>
        </w:tc>
        <w:tc>
          <w:tcPr>
            <w:tcW w:w="743" w:type="dxa"/>
            <w:tcBorders>
              <w:top w:val="single" w:sz="2" w:space="0" w:color="auto"/>
              <w:left w:val="single" w:sz="2" w:space="0" w:color="auto"/>
              <w:bottom w:val="single" w:sz="2" w:space="0" w:color="auto"/>
              <w:right w:val="single" w:sz="2" w:space="0" w:color="auto"/>
            </w:tcBorders>
            <w:vAlign w:val="center"/>
          </w:tcPr>
          <w:p w:rsidR="00745844" w:rsidRDefault="006C73A7">
            <w:pPr>
              <w:spacing w:line="240" w:lineRule="exact"/>
              <w:jc w:val="right"/>
              <w:rPr>
                <w:rFonts w:ascii="宋体" w:eastAsia="宋体" w:hAnsi="宋体" w:cs="宋体"/>
                <w:sz w:val="18"/>
                <w:szCs w:val="18"/>
              </w:rPr>
            </w:pPr>
            <w:r w:rsidRPr="006C73A7">
              <w:rPr>
                <w:rFonts w:ascii="宋体" w:eastAsia="宋体" w:hAnsi="宋体" w:cs="宋体"/>
                <w:sz w:val="18"/>
                <w:szCs w:val="18"/>
              </w:rPr>
              <w:t>37,808,737.59</w:t>
            </w:r>
          </w:p>
        </w:tc>
      </w:tr>
      <w:tr w:rsidR="00745844" w:rsidTr="006C73A7">
        <w:trPr>
          <w:trHeight w:val="240"/>
        </w:trPr>
        <w:tc>
          <w:tcPr>
            <w:tcW w:w="7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74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206,078,629.50</w:t>
            </w:r>
          </w:p>
        </w:tc>
        <w:tc>
          <w:tcPr>
            <w:tcW w:w="742" w:type="dxa"/>
            <w:tcBorders>
              <w:top w:val="single" w:sz="2" w:space="0" w:color="auto"/>
              <w:left w:val="single" w:sz="2" w:space="0" w:color="auto"/>
              <w:bottom w:val="single" w:sz="2" w:space="0" w:color="auto"/>
              <w:right w:val="single" w:sz="2" w:space="0" w:color="auto"/>
            </w:tcBorders>
            <w:vAlign w:val="center"/>
          </w:tcPr>
          <w:p w:rsidR="00745844" w:rsidRDefault="006C73A7">
            <w:pPr>
              <w:spacing w:line="240" w:lineRule="exact"/>
              <w:jc w:val="right"/>
              <w:rPr>
                <w:rFonts w:ascii="宋体" w:eastAsia="宋体" w:hAnsi="宋体" w:cs="宋体"/>
                <w:sz w:val="18"/>
                <w:szCs w:val="18"/>
              </w:rPr>
            </w:pPr>
            <w:r w:rsidRPr="006C73A7">
              <w:rPr>
                <w:rFonts w:ascii="宋体" w:eastAsia="宋体" w:hAnsi="宋体" w:cs="宋体"/>
                <w:sz w:val="18"/>
                <w:szCs w:val="18"/>
              </w:rPr>
              <w:t>37,808,737.59</w:t>
            </w:r>
          </w:p>
        </w:tc>
        <w:tc>
          <w:tcPr>
            <w:tcW w:w="74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hideMark/>
          </w:tcPr>
          <w:p w:rsidR="00745844" w:rsidRDefault="006C73A7">
            <w:pPr>
              <w:spacing w:line="240" w:lineRule="exact"/>
              <w:jc w:val="right"/>
              <w:rPr>
                <w:rFonts w:ascii="宋体" w:eastAsia="宋体" w:hAnsi="宋体" w:cs="宋体"/>
                <w:sz w:val="18"/>
                <w:szCs w:val="18"/>
              </w:rPr>
            </w:pPr>
            <w:r w:rsidRPr="006C73A7">
              <w:rPr>
                <w:rFonts w:ascii="宋体" w:eastAsia="宋体" w:hAnsi="宋体" w:cs="宋体"/>
                <w:sz w:val="18"/>
                <w:szCs w:val="18"/>
              </w:rPr>
              <w:t>-13,920,182.63</w:t>
            </w:r>
          </w:p>
        </w:tc>
        <w:tc>
          <w:tcPr>
            <w:tcW w:w="74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2,849,908.32</w:t>
            </w:r>
          </w:p>
        </w:tc>
        <w:tc>
          <w:tcPr>
            <w:tcW w:w="741"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hideMark/>
          </w:tcPr>
          <w:p w:rsidR="00745844" w:rsidRDefault="006C73A7">
            <w:pPr>
              <w:spacing w:line="240" w:lineRule="exact"/>
              <w:jc w:val="right"/>
              <w:rPr>
                <w:rFonts w:ascii="宋体" w:eastAsia="宋体" w:hAnsi="宋体" w:cs="宋体"/>
                <w:sz w:val="18"/>
                <w:szCs w:val="18"/>
              </w:rPr>
            </w:pPr>
            <w:r w:rsidRPr="006C73A7">
              <w:rPr>
                <w:rFonts w:ascii="宋体" w:eastAsia="宋体" w:hAnsi="宋体" w:cs="宋体"/>
                <w:sz w:val="18"/>
                <w:szCs w:val="18"/>
              </w:rPr>
              <w:t>189,308,538.55</w:t>
            </w:r>
          </w:p>
        </w:tc>
        <w:tc>
          <w:tcPr>
            <w:tcW w:w="743" w:type="dxa"/>
            <w:tcBorders>
              <w:top w:val="single" w:sz="2" w:space="0" w:color="auto"/>
              <w:left w:val="single" w:sz="2" w:space="0" w:color="auto"/>
              <w:bottom w:val="single" w:sz="2" w:space="0" w:color="auto"/>
              <w:right w:val="single" w:sz="2" w:space="0" w:color="auto"/>
            </w:tcBorders>
            <w:vAlign w:val="center"/>
          </w:tcPr>
          <w:p w:rsidR="00745844" w:rsidRDefault="006C73A7">
            <w:pPr>
              <w:spacing w:line="240" w:lineRule="exact"/>
              <w:jc w:val="right"/>
              <w:rPr>
                <w:rFonts w:ascii="宋体" w:eastAsia="宋体" w:hAnsi="宋体" w:cs="宋体"/>
                <w:sz w:val="18"/>
                <w:szCs w:val="18"/>
              </w:rPr>
            </w:pPr>
            <w:r w:rsidRPr="006C73A7">
              <w:rPr>
                <w:rFonts w:ascii="宋体" w:eastAsia="宋体" w:hAnsi="宋体" w:cs="宋体"/>
                <w:sz w:val="18"/>
                <w:szCs w:val="18"/>
              </w:rPr>
              <w:t>37,808,737.59</w:t>
            </w:r>
          </w:p>
        </w:tc>
      </w:tr>
    </w:tbl>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可收回金额按公允价值减去处置费用后的净额确定</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可收回金额按预计未来现金流量的现值确定</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前述信息与以前年度减值测试采用的信息或外部信息明显不一致的差异原因</w:t>
      </w:r>
    </w:p>
    <w:p w:rsidR="00745844" w:rsidRPr="00CE6C6C" w:rsidRDefault="00745844" w:rsidP="00CE6C6C">
      <w:pPr>
        <w:spacing w:before="100" w:after="100" w:line="240" w:lineRule="exact"/>
        <w:rPr>
          <w:rFonts w:ascii="宋体" w:eastAsia="宋体" w:hAnsi="宋体" w:cs="宋体"/>
          <w:sz w:val="18"/>
          <w:szCs w:val="18"/>
        </w:rPr>
      </w:pPr>
      <w:r w:rsidRPr="00CE6C6C">
        <w:rPr>
          <w:rFonts w:ascii="宋体" w:eastAsia="宋体" w:hAnsi="宋体" w:cs="宋体" w:hint="eastAsia"/>
          <w:sz w:val="18"/>
          <w:szCs w:val="18"/>
        </w:rPr>
        <w:t>不适用</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公司以前年度减值测试采用信息与当年实际情况明显不一致的差异原因</w:t>
      </w:r>
    </w:p>
    <w:p w:rsidR="00745844" w:rsidRPr="00CE6C6C" w:rsidRDefault="00745844" w:rsidP="00CE6C6C">
      <w:pPr>
        <w:spacing w:before="100" w:after="100" w:line="240" w:lineRule="exact"/>
        <w:rPr>
          <w:rFonts w:ascii="宋体" w:eastAsia="宋体" w:hAnsi="宋体" w:cs="宋体"/>
          <w:sz w:val="18"/>
          <w:szCs w:val="18"/>
        </w:rPr>
      </w:pPr>
      <w:r w:rsidRPr="00CE6C6C">
        <w:rPr>
          <w:rFonts w:ascii="宋体" w:eastAsia="宋体" w:hAnsi="宋体" w:cs="宋体" w:hint="eastAsia"/>
          <w:sz w:val="18"/>
          <w:szCs w:val="18"/>
        </w:rPr>
        <w:t>不适用</w:t>
      </w:r>
    </w:p>
    <w:p w:rsidR="00745844" w:rsidRDefault="00745844" w:rsidP="00745844">
      <w:pPr>
        <w:pStyle w:val="3"/>
        <w:spacing w:line="280" w:lineRule="exact"/>
        <w:jc w:val="left"/>
        <w:rPr>
          <w:rFonts w:ascii="宋体" w:hAnsi="宋体" w:cs="宋体"/>
          <w:b/>
          <w:bCs/>
        </w:rPr>
      </w:pPr>
      <w:bookmarkStart w:id="444" w:name="_Toc989330"/>
      <w:r>
        <w:rPr>
          <w:rFonts w:ascii="宋体" w:hAnsi="宋体" w:cs="宋体" w:hint="eastAsia"/>
          <w:b/>
          <w:bCs/>
        </w:rPr>
        <w:t>4、营业收入和营业成本</w:t>
      </w:r>
      <w:bookmarkEnd w:id="444"/>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29"/>
        <w:gridCol w:w="1929"/>
        <w:gridCol w:w="1929"/>
        <w:gridCol w:w="1929"/>
        <w:gridCol w:w="1929"/>
      </w:tblGrid>
      <w:tr w:rsidR="00745844" w:rsidTr="00745844">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上期发生额</w:t>
            </w:r>
          </w:p>
        </w:tc>
      </w:tr>
      <w:tr w:rsidR="00745844" w:rsidTr="00745844">
        <w:trPr>
          <w:trHeight w:val="240"/>
        </w:trPr>
        <w:tc>
          <w:tcPr>
            <w:tcW w:w="1928"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成本</w:t>
            </w:r>
          </w:p>
        </w:tc>
      </w:tr>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38,938.03</w:t>
            </w:r>
          </w:p>
        </w:tc>
        <w:tc>
          <w:tcPr>
            <w:tcW w:w="1928"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r>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3,672,118.06</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914,073.40</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4,901,107.34</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935,072.60</w:t>
            </w:r>
          </w:p>
        </w:tc>
      </w:tr>
      <w:tr w:rsidR="00745844" w:rsidTr="00745844">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3,672,118.06</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914,073.40</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4,940,045.37</w:t>
            </w:r>
          </w:p>
        </w:tc>
        <w:tc>
          <w:tcPr>
            <w:tcW w:w="1928"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935,072.60</w:t>
            </w:r>
          </w:p>
        </w:tc>
      </w:tr>
    </w:tbl>
    <w:p w:rsidR="00745844" w:rsidRDefault="00745844" w:rsidP="00745844">
      <w:pPr>
        <w:pStyle w:val="3"/>
        <w:spacing w:line="280" w:lineRule="exact"/>
        <w:jc w:val="left"/>
        <w:rPr>
          <w:rFonts w:ascii="宋体" w:hAnsi="宋体" w:cs="宋体"/>
          <w:b/>
          <w:bCs/>
        </w:rPr>
      </w:pPr>
      <w:bookmarkStart w:id="445" w:name="_Toc989331"/>
      <w:r>
        <w:rPr>
          <w:rFonts w:ascii="宋体" w:hAnsi="宋体" w:cs="宋体" w:hint="eastAsia"/>
          <w:b/>
          <w:bCs/>
        </w:rPr>
        <w:t>5、投资收益</w:t>
      </w:r>
      <w:bookmarkEnd w:id="445"/>
    </w:p>
    <w:p w:rsidR="00745844" w:rsidRDefault="00745844" w:rsidP="00745844">
      <w:pPr>
        <w:spacing w:before="40" w:after="4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575"/>
        <w:gridCol w:w="2855"/>
        <w:gridCol w:w="3215"/>
      </w:tblGrid>
      <w:tr w:rsidR="00745844" w:rsidTr="00023F26">
        <w:trPr>
          <w:trHeight w:val="240"/>
        </w:trPr>
        <w:tc>
          <w:tcPr>
            <w:tcW w:w="35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w:t>
            </w:r>
          </w:p>
        </w:tc>
        <w:tc>
          <w:tcPr>
            <w:tcW w:w="285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本期发生额</w:t>
            </w:r>
          </w:p>
        </w:tc>
        <w:tc>
          <w:tcPr>
            <w:tcW w:w="321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上期发生额</w:t>
            </w:r>
          </w:p>
        </w:tc>
      </w:tr>
      <w:tr w:rsidR="00745844" w:rsidTr="00023F26">
        <w:trPr>
          <w:trHeight w:val="240"/>
        </w:trPr>
        <w:tc>
          <w:tcPr>
            <w:tcW w:w="35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成本法核算的长期股权投资收益</w:t>
            </w:r>
          </w:p>
        </w:tc>
        <w:tc>
          <w:tcPr>
            <w:tcW w:w="285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40,000,000.00</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9,000,000.00</w:t>
            </w:r>
          </w:p>
        </w:tc>
      </w:tr>
      <w:tr w:rsidR="00745844" w:rsidTr="00023F26">
        <w:trPr>
          <w:trHeight w:val="240"/>
        </w:trPr>
        <w:tc>
          <w:tcPr>
            <w:tcW w:w="35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权益法核算的长期股权投资收益</w:t>
            </w:r>
          </w:p>
        </w:tc>
        <w:tc>
          <w:tcPr>
            <w:tcW w:w="2855" w:type="dxa"/>
            <w:tcBorders>
              <w:top w:val="single" w:sz="2" w:space="0" w:color="auto"/>
              <w:left w:val="single" w:sz="2" w:space="0" w:color="auto"/>
              <w:bottom w:val="single" w:sz="2" w:space="0" w:color="auto"/>
              <w:right w:val="single" w:sz="2" w:space="0" w:color="auto"/>
            </w:tcBorders>
            <w:vAlign w:val="center"/>
            <w:hideMark/>
          </w:tcPr>
          <w:p w:rsidR="00745844" w:rsidRDefault="000F5E2D">
            <w:pPr>
              <w:spacing w:line="240" w:lineRule="exact"/>
              <w:jc w:val="right"/>
              <w:rPr>
                <w:rFonts w:ascii="宋体" w:eastAsia="宋体" w:hAnsi="宋体" w:cs="宋体"/>
                <w:sz w:val="18"/>
                <w:szCs w:val="18"/>
              </w:rPr>
            </w:pPr>
            <w:r w:rsidRPr="000F5E2D">
              <w:rPr>
                <w:rFonts w:ascii="宋体" w:eastAsia="宋体" w:hAnsi="宋体" w:cs="宋体"/>
                <w:sz w:val="18"/>
                <w:szCs w:val="18"/>
              </w:rPr>
              <w:t xml:space="preserve">-13,920,182.63   </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3,588,474.76</w:t>
            </w:r>
          </w:p>
        </w:tc>
      </w:tr>
      <w:tr w:rsidR="00745844" w:rsidTr="00023F26">
        <w:trPr>
          <w:trHeight w:val="240"/>
        </w:trPr>
        <w:tc>
          <w:tcPr>
            <w:tcW w:w="35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交易性金融资产在持有期间的投资收益</w:t>
            </w:r>
          </w:p>
        </w:tc>
        <w:tc>
          <w:tcPr>
            <w:tcW w:w="2855" w:type="dxa"/>
            <w:tcBorders>
              <w:top w:val="single" w:sz="2" w:space="0" w:color="auto"/>
              <w:left w:val="single" w:sz="2" w:space="0" w:color="auto"/>
              <w:bottom w:val="single" w:sz="2" w:space="0" w:color="auto"/>
              <w:right w:val="single" w:sz="2" w:space="0" w:color="auto"/>
            </w:tcBorders>
            <w:vAlign w:val="center"/>
          </w:tcPr>
          <w:p w:rsidR="00745844" w:rsidRDefault="00745844">
            <w:pPr>
              <w:spacing w:line="240" w:lineRule="exact"/>
              <w:jc w:val="right"/>
              <w:rPr>
                <w:rFonts w:ascii="宋体" w:eastAsia="宋体" w:hAnsi="宋体" w:cs="宋体"/>
                <w:sz w:val="18"/>
                <w:szCs w:val="18"/>
              </w:rPr>
            </w:pP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3,713,815.05</w:t>
            </w:r>
          </w:p>
        </w:tc>
      </w:tr>
      <w:tr w:rsidR="00745844" w:rsidTr="00023F26">
        <w:trPr>
          <w:trHeight w:val="240"/>
        </w:trPr>
        <w:tc>
          <w:tcPr>
            <w:tcW w:w="35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处置交易性金融资产取得的投资收益</w:t>
            </w:r>
          </w:p>
        </w:tc>
        <w:tc>
          <w:tcPr>
            <w:tcW w:w="285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1,532.77</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443.47</w:t>
            </w:r>
          </w:p>
        </w:tc>
      </w:tr>
      <w:tr w:rsidR="00745844" w:rsidTr="00023F26">
        <w:trPr>
          <w:trHeight w:val="240"/>
        </w:trPr>
        <w:tc>
          <w:tcPr>
            <w:tcW w:w="357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t>结构性存款利息</w:t>
            </w:r>
          </w:p>
        </w:tc>
        <w:tc>
          <w:tcPr>
            <w:tcW w:w="285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895,810.42</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1,529,677.15</w:t>
            </w:r>
          </w:p>
        </w:tc>
      </w:tr>
      <w:tr w:rsidR="00745844" w:rsidTr="00023F26">
        <w:trPr>
          <w:trHeight w:val="240"/>
        </w:trPr>
        <w:tc>
          <w:tcPr>
            <w:tcW w:w="357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rPr>
                <w:rFonts w:ascii="宋体" w:eastAsia="宋体" w:hAnsi="宋体" w:cs="宋体"/>
                <w:sz w:val="18"/>
                <w:szCs w:val="18"/>
              </w:rPr>
            </w:pPr>
            <w:r>
              <w:rPr>
                <w:rFonts w:ascii="宋体" w:eastAsia="宋体" w:hAnsi="宋体" w:cs="宋体" w:hint="eastAsia"/>
                <w:sz w:val="18"/>
                <w:szCs w:val="18"/>
              </w:rPr>
              <w:lastRenderedPageBreak/>
              <w:t>其他</w:t>
            </w:r>
          </w:p>
        </w:tc>
        <w:tc>
          <w:tcPr>
            <w:tcW w:w="285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19,515.88</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5,223.86</w:t>
            </w:r>
          </w:p>
        </w:tc>
      </w:tr>
      <w:tr w:rsidR="00745844" w:rsidTr="00023F26">
        <w:trPr>
          <w:trHeight w:val="240"/>
        </w:trPr>
        <w:tc>
          <w:tcPr>
            <w:tcW w:w="3575"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2855" w:type="dxa"/>
            <w:tcBorders>
              <w:top w:val="single" w:sz="2" w:space="0" w:color="auto"/>
              <w:left w:val="single" w:sz="2" w:space="0" w:color="auto"/>
              <w:bottom w:val="single" w:sz="2" w:space="0" w:color="auto"/>
              <w:right w:val="single" w:sz="2" w:space="0" w:color="auto"/>
            </w:tcBorders>
            <w:vAlign w:val="center"/>
            <w:hideMark/>
          </w:tcPr>
          <w:p w:rsidR="00745844" w:rsidRDefault="000F5E2D">
            <w:pPr>
              <w:spacing w:line="240" w:lineRule="exact"/>
              <w:jc w:val="right"/>
              <w:rPr>
                <w:rFonts w:ascii="宋体" w:eastAsia="宋体" w:hAnsi="宋体" w:cs="宋体"/>
                <w:sz w:val="18"/>
                <w:szCs w:val="18"/>
              </w:rPr>
            </w:pPr>
            <w:r w:rsidRPr="000F5E2D">
              <w:rPr>
                <w:rFonts w:ascii="宋体" w:eastAsia="宋体" w:hAnsi="宋体" w:cs="宋体"/>
                <w:sz w:val="18"/>
                <w:szCs w:val="18"/>
              </w:rPr>
              <w:t>26,996,676.44</w:t>
            </w:r>
          </w:p>
        </w:tc>
        <w:tc>
          <w:tcPr>
            <w:tcW w:w="3215"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17,837,634.29</w:t>
            </w:r>
          </w:p>
        </w:tc>
      </w:tr>
    </w:tbl>
    <w:p w:rsidR="00745844" w:rsidRDefault="00745844" w:rsidP="00745844">
      <w:pPr>
        <w:pStyle w:val="2"/>
        <w:spacing w:before="300" w:after="300" w:line="320" w:lineRule="exact"/>
        <w:rPr>
          <w:rFonts w:ascii="宋体" w:eastAsia="宋体" w:hAnsi="宋体" w:cs="宋体"/>
          <w:b/>
          <w:bCs/>
          <w:sz w:val="24"/>
          <w:szCs w:val="24"/>
        </w:rPr>
      </w:pPr>
      <w:bookmarkStart w:id="446" w:name="_Toc989332"/>
      <w:r>
        <w:rPr>
          <w:rFonts w:ascii="宋体" w:eastAsia="宋体" w:hAnsi="宋体" w:cs="宋体" w:hint="eastAsia"/>
          <w:b/>
          <w:bCs/>
          <w:sz w:val="24"/>
          <w:szCs w:val="24"/>
        </w:rPr>
        <w:t>二十、补充资料</w:t>
      </w:r>
      <w:bookmarkEnd w:id="446"/>
    </w:p>
    <w:p w:rsidR="00745844" w:rsidRDefault="00745844" w:rsidP="00745844">
      <w:pPr>
        <w:pStyle w:val="3"/>
        <w:spacing w:line="280" w:lineRule="exact"/>
        <w:jc w:val="left"/>
        <w:rPr>
          <w:rFonts w:ascii="宋体" w:hAnsi="宋体" w:cs="宋体"/>
          <w:b/>
          <w:bCs/>
        </w:rPr>
      </w:pPr>
      <w:bookmarkStart w:id="447" w:name="_Toc989333"/>
      <w:r>
        <w:rPr>
          <w:rFonts w:ascii="宋体" w:hAnsi="宋体" w:cs="宋体" w:hint="eastAsia"/>
          <w:b/>
          <w:bCs/>
        </w:rPr>
        <w:t>1、当期非经常性损益明细表</w:t>
      </w:r>
      <w:bookmarkEnd w:id="447"/>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hint="eastAsia"/>
          <w:sz w:val="18"/>
          <w:szCs w:val="18"/>
        </w:rPr>
        <w:t>适用 □不适用</w:t>
      </w:r>
    </w:p>
    <w:p w:rsidR="00745844" w:rsidRDefault="00745844" w:rsidP="00745844">
      <w:pPr>
        <w:spacing w:before="120" w:after="120" w:line="240" w:lineRule="exact"/>
        <w:jc w:val="right"/>
        <w:rPr>
          <w:rFonts w:ascii="宋体" w:eastAsia="宋体" w:hAnsi="宋体" w:cs="宋体"/>
          <w:sz w:val="18"/>
          <w:szCs w:val="18"/>
        </w:rPr>
      </w:pPr>
      <w:r>
        <w:rPr>
          <w:rFonts w:ascii="宋体" w:eastAsia="宋体" w:hAnsi="宋体" w:cs="宋体" w:hint="eastAsia"/>
          <w:sz w:val="18"/>
          <w:szCs w:val="18"/>
        </w:rPr>
        <w:t>单位：元</w:t>
      </w:r>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142"/>
        <w:gridCol w:w="3969"/>
        <w:gridCol w:w="1534"/>
      </w:tblGrid>
      <w:tr w:rsidR="00745844" w:rsidTr="00A82614">
        <w:trPr>
          <w:trHeight w:val="240"/>
        </w:trPr>
        <w:tc>
          <w:tcPr>
            <w:tcW w:w="41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项目</w:t>
            </w:r>
          </w:p>
        </w:tc>
        <w:tc>
          <w:tcPr>
            <w:tcW w:w="3969"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金额</w:t>
            </w:r>
          </w:p>
        </w:tc>
        <w:tc>
          <w:tcPr>
            <w:tcW w:w="153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说明</w:t>
            </w:r>
          </w:p>
        </w:tc>
      </w:tr>
      <w:tr w:rsidR="00B862AA" w:rsidTr="00A82614">
        <w:trPr>
          <w:trHeight w:val="240"/>
        </w:trPr>
        <w:tc>
          <w:tcPr>
            <w:tcW w:w="41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B862AA" w:rsidRDefault="00B862AA" w:rsidP="00B862AA">
            <w:pPr>
              <w:spacing w:before="40" w:after="40" w:line="240" w:lineRule="exact"/>
              <w:rPr>
                <w:rFonts w:ascii="宋体" w:eastAsia="宋体" w:hAnsi="宋体" w:cs="宋体"/>
                <w:sz w:val="18"/>
                <w:szCs w:val="18"/>
              </w:rPr>
            </w:pPr>
            <w:r>
              <w:rPr>
                <w:rFonts w:ascii="宋体" w:eastAsia="宋体" w:hAnsi="宋体" w:cs="宋体" w:hint="eastAsia"/>
                <w:sz w:val="18"/>
                <w:szCs w:val="18"/>
              </w:rPr>
              <w:t>非流动性资产处置损益</w:t>
            </w:r>
          </w:p>
        </w:tc>
        <w:tc>
          <w:tcPr>
            <w:tcW w:w="3969" w:type="dxa"/>
            <w:tcBorders>
              <w:top w:val="single" w:sz="2" w:space="0" w:color="auto"/>
              <w:left w:val="single" w:sz="2" w:space="0" w:color="auto"/>
              <w:bottom w:val="single" w:sz="2" w:space="0" w:color="auto"/>
              <w:right w:val="single" w:sz="2" w:space="0" w:color="auto"/>
            </w:tcBorders>
            <w:vAlign w:val="center"/>
            <w:hideMark/>
          </w:tcPr>
          <w:p w:rsidR="00B862AA" w:rsidRDefault="00B862AA" w:rsidP="00B862AA">
            <w:pPr>
              <w:spacing w:line="240" w:lineRule="exact"/>
              <w:jc w:val="right"/>
              <w:rPr>
                <w:rFonts w:ascii="宋体" w:eastAsia="宋体" w:hAnsi="宋体" w:cs="宋体"/>
                <w:sz w:val="18"/>
                <w:szCs w:val="18"/>
              </w:rPr>
            </w:pPr>
            <w:r w:rsidRPr="000C2057">
              <w:rPr>
                <w:rFonts w:ascii="宋体" w:eastAsia="宋体" w:hAnsi="宋体" w:cs="宋体"/>
                <w:sz w:val="18"/>
                <w:szCs w:val="18"/>
              </w:rPr>
              <w:t>-876,111.38</w:t>
            </w:r>
          </w:p>
        </w:tc>
        <w:tc>
          <w:tcPr>
            <w:tcW w:w="1534" w:type="dxa"/>
            <w:tcBorders>
              <w:top w:val="single" w:sz="2" w:space="0" w:color="auto"/>
              <w:left w:val="single" w:sz="2" w:space="0" w:color="auto"/>
              <w:bottom w:val="single" w:sz="2" w:space="0" w:color="auto"/>
              <w:right w:val="single" w:sz="2" w:space="0" w:color="auto"/>
            </w:tcBorders>
            <w:vAlign w:val="center"/>
          </w:tcPr>
          <w:p w:rsidR="00B862AA" w:rsidRDefault="00B862AA" w:rsidP="00B862AA">
            <w:pPr>
              <w:spacing w:line="240" w:lineRule="exact"/>
              <w:rPr>
                <w:rFonts w:ascii="宋体" w:eastAsia="宋体" w:hAnsi="宋体" w:cs="宋体"/>
                <w:sz w:val="18"/>
                <w:szCs w:val="18"/>
              </w:rPr>
            </w:pPr>
          </w:p>
        </w:tc>
      </w:tr>
      <w:tr w:rsidR="00B862AA" w:rsidTr="00A82614">
        <w:trPr>
          <w:trHeight w:val="240"/>
        </w:trPr>
        <w:tc>
          <w:tcPr>
            <w:tcW w:w="41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B862AA" w:rsidRDefault="00B862AA" w:rsidP="00B862AA">
            <w:pPr>
              <w:spacing w:before="40" w:after="40" w:line="240" w:lineRule="exact"/>
              <w:rPr>
                <w:rFonts w:ascii="宋体" w:eastAsia="宋体" w:hAnsi="宋体" w:cs="宋体"/>
                <w:sz w:val="18"/>
                <w:szCs w:val="18"/>
              </w:rPr>
            </w:pPr>
            <w:r>
              <w:rPr>
                <w:rFonts w:ascii="宋体" w:eastAsia="宋体" w:hAnsi="宋体" w:cs="宋体" w:hint="eastAsia"/>
                <w:sz w:val="18"/>
                <w:szCs w:val="18"/>
              </w:rPr>
              <w:t>计入当期损益的政府补助（与公司正常经营业务密切相关，符合国家政策规定、按照确定的标准享有、对公司损益产生持续影响的政府补助除外）</w:t>
            </w:r>
          </w:p>
        </w:tc>
        <w:tc>
          <w:tcPr>
            <w:tcW w:w="3969" w:type="dxa"/>
            <w:tcBorders>
              <w:top w:val="single" w:sz="2" w:space="0" w:color="auto"/>
              <w:left w:val="single" w:sz="2" w:space="0" w:color="auto"/>
              <w:bottom w:val="single" w:sz="2" w:space="0" w:color="auto"/>
              <w:right w:val="single" w:sz="2" w:space="0" w:color="auto"/>
            </w:tcBorders>
            <w:vAlign w:val="center"/>
            <w:hideMark/>
          </w:tcPr>
          <w:p w:rsidR="00B862AA" w:rsidRDefault="00B862AA" w:rsidP="00B862AA">
            <w:pPr>
              <w:spacing w:line="240" w:lineRule="exact"/>
              <w:jc w:val="right"/>
              <w:rPr>
                <w:rFonts w:ascii="宋体" w:eastAsia="宋体" w:hAnsi="宋体" w:cs="宋体"/>
                <w:sz w:val="18"/>
                <w:szCs w:val="18"/>
              </w:rPr>
            </w:pPr>
            <w:r>
              <w:rPr>
                <w:rFonts w:ascii="宋体" w:eastAsia="宋体" w:hAnsi="宋体" w:cs="宋体" w:hint="eastAsia"/>
                <w:sz w:val="18"/>
                <w:szCs w:val="18"/>
              </w:rPr>
              <w:t>12,591,290.97</w:t>
            </w:r>
          </w:p>
        </w:tc>
        <w:tc>
          <w:tcPr>
            <w:tcW w:w="1534" w:type="dxa"/>
            <w:tcBorders>
              <w:top w:val="single" w:sz="2" w:space="0" w:color="auto"/>
              <w:left w:val="single" w:sz="2" w:space="0" w:color="auto"/>
              <w:bottom w:val="single" w:sz="2" w:space="0" w:color="auto"/>
              <w:right w:val="single" w:sz="2" w:space="0" w:color="auto"/>
            </w:tcBorders>
            <w:vAlign w:val="center"/>
          </w:tcPr>
          <w:p w:rsidR="00B862AA" w:rsidRDefault="00B862AA" w:rsidP="00B862AA">
            <w:pPr>
              <w:spacing w:line="240" w:lineRule="exact"/>
              <w:rPr>
                <w:rFonts w:ascii="宋体" w:eastAsia="宋体" w:hAnsi="宋体" w:cs="宋体"/>
                <w:sz w:val="18"/>
                <w:szCs w:val="18"/>
              </w:rPr>
            </w:pPr>
          </w:p>
        </w:tc>
      </w:tr>
      <w:tr w:rsidR="00B862AA" w:rsidTr="00A82614">
        <w:trPr>
          <w:trHeight w:val="240"/>
        </w:trPr>
        <w:tc>
          <w:tcPr>
            <w:tcW w:w="41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B862AA" w:rsidRDefault="00B862AA" w:rsidP="00B862AA">
            <w:pPr>
              <w:spacing w:before="40" w:after="40" w:line="240" w:lineRule="exact"/>
              <w:rPr>
                <w:rFonts w:ascii="宋体" w:eastAsia="宋体" w:hAnsi="宋体" w:cs="宋体"/>
                <w:sz w:val="18"/>
                <w:szCs w:val="18"/>
              </w:rPr>
            </w:pPr>
            <w:r>
              <w:rPr>
                <w:rFonts w:ascii="宋体" w:eastAsia="宋体" w:hAnsi="宋体" w:cs="宋体" w:hint="eastAsia"/>
                <w:sz w:val="18"/>
                <w:szCs w:val="18"/>
              </w:rPr>
              <w:t>除同公司正常经营业务相关的有效套期保值业务外，非金融企业持有金融资产和金融负债产生的公允价值变动损益以及处置金融资产和金融负债产生的损益</w:t>
            </w:r>
          </w:p>
        </w:tc>
        <w:tc>
          <w:tcPr>
            <w:tcW w:w="3969" w:type="dxa"/>
            <w:tcBorders>
              <w:top w:val="single" w:sz="2" w:space="0" w:color="auto"/>
              <w:left w:val="single" w:sz="2" w:space="0" w:color="auto"/>
              <w:bottom w:val="single" w:sz="2" w:space="0" w:color="auto"/>
              <w:right w:val="single" w:sz="2" w:space="0" w:color="auto"/>
            </w:tcBorders>
            <w:vAlign w:val="center"/>
            <w:hideMark/>
          </w:tcPr>
          <w:p w:rsidR="00B862AA" w:rsidRDefault="00B862AA" w:rsidP="00B862AA">
            <w:pPr>
              <w:spacing w:line="240" w:lineRule="exact"/>
              <w:jc w:val="right"/>
              <w:rPr>
                <w:rFonts w:ascii="宋体" w:eastAsia="宋体" w:hAnsi="宋体" w:cs="宋体"/>
                <w:sz w:val="18"/>
                <w:szCs w:val="18"/>
              </w:rPr>
            </w:pPr>
            <w:r>
              <w:rPr>
                <w:rFonts w:ascii="宋体" w:eastAsia="宋体" w:hAnsi="宋体" w:cs="宋体" w:hint="eastAsia"/>
                <w:sz w:val="18"/>
                <w:szCs w:val="18"/>
              </w:rPr>
              <w:t>4,169,088.25</w:t>
            </w:r>
          </w:p>
        </w:tc>
        <w:tc>
          <w:tcPr>
            <w:tcW w:w="1534" w:type="dxa"/>
            <w:tcBorders>
              <w:top w:val="single" w:sz="2" w:space="0" w:color="auto"/>
              <w:left w:val="single" w:sz="2" w:space="0" w:color="auto"/>
              <w:bottom w:val="single" w:sz="2" w:space="0" w:color="auto"/>
              <w:right w:val="single" w:sz="2" w:space="0" w:color="auto"/>
            </w:tcBorders>
            <w:vAlign w:val="center"/>
          </w:tcPr>
          <w:p w:rsidR="00B862AA" w:rsidRDefault="00B862AA" w:rsidP="00B862AA">
            <w:pPr>
              <w:spacing w:line="240" w:lineRule="exact"/>
              <w:rPr>
                <w:rFonts w:ascii="宋体" w:eastAsia="宋体" w:hAnsi="宋体" w:cs="宋体"/>
                <w:sz w:val="18"/>
                <w:szCs w:val="18"/>
              </w:rPr>
            </w:pPr>
          </w:p>
        </w:tc>
      </w:tr>
      <w:tr w:rsidR="00B862AA" w:rsidTr="00A82614">
        <w:trPr>
          <w:trHeight w:val="240"/>
        </w:trPr>
        <w:tc>
          <w:tcPr>
            <w:tcW w:w="41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B862AA" w:rsidRDefault="00B862AA" w:rsidP="00B862AA">
            <w:pPr>
              <w:spacing w:before="40" w:after="40" w:line="240" w:lineRule="exact"/>
              <w:rPr>
                <w:rFonts w:ascii="宋体" w:eastAsia="宋体" w:hAnsi="宋体" w:cs="宋体"/>
                <w:sz w:val="18"/>
                <w:szCs w:val="18"/>
              </w:rPr>
            </w:pPr>
            <w:r>
              <w:rPr>
                <w:rFonts w:ascii="宋体" w:eastAsia="宋体" w:hAnsi="宋体" w:cs="宋体" w:hint="eastAsia"/>
                <w:sz w:val="18"/>
                <w:szCs w:val="18"/>
              </w:rPr>
              <w:t>委托他人投资或管理资产的损益</w:t>
            </w:r>
          </w:p>
        </w:tc>
        <w:tc>
          <w:tcPr>
            <w:tcW w:w="3969" w:type="dxa"/>
            <w:tcBorders>
              <w:top w:val="single" w:sz="2" w:space="0" w:color="auto"/>
              <w:left w:val="single" w:sz="2" w:space="0" w:color="auto"/>
              <w:bottom w:val="single" w:sz="2" w:space="0" w:color="auto"/>
              <w:right w:val="single" w:sz="2" w:space="0" w:color="auto"/>
            </w:tcBorders>
            <w:vAlign w:val="center"/>
            <w:hideMark/>
          </w:tcPr>
          <w:p w:rsidR="00B862AA" w:rsidRDefault="00B862AA" w:rsidP="00B862AA">
            <w:pPr>
              <w:spacing w:line="240" w:lineRule="exact"/>
              <w:jc w:val="right"/>
              <w:rPr>
                <w:rFonts w:ascii="宋体" w:eastAsia="宋体" w:hAnsi="宋体" w:cs="宋体"/>
                <w:sz w:val="18"/>
                <w:szCs w:val="18"/>
              </w:rPr>
            </w:pPr>
            <w:r w:rsidRPr="000C2057">
              <w:rPr>
                <w:rFonts w:ascii="宋体" w:eastAsia="宋体" w:hAnsi="宋体" w:cs="宋体"/>
                <w:sz w:val="18"/>
                <w:szCs w:val="18"/>
              </w:rPr>
              <w:t>2,562,268.90</w:t>
            </w:r>
          </w:p>
        </w:tc>
        <w:tc>
          <w:tcPr>
            <w:tcW w:w="1534" w:type="dxa"/>
            <w:tcBorders>
              <w:top w:val="single" w:sz="2" w:space="0" w:color="auto"/>
              <w:left w:val="single" w:sz="2" w:space="0" w:color="auto"/>
              <w:bottom w:val="single" w:sz="2" w:space="0" w:color="auto"/>
              <w:right w:val="single" w:sz="2" w:space="0" w:color="auto"/>
            </w:tcBorders>
            <w:vAlign w:val="center"/>
          </w:tcPr>
          <w:p w:rsidR="00B862AA" w:rsidRDefault="00B862AA" w:rsidP="00B862AA">
            <w:pPr>
              <w:spacing w:line="240" w:lineRule="exact"/>
              <w:rPr>
                <w:rFonts w:ascii="宋体" w:eastAsia="宋体" w:hAnsi="宋体" w:cs="宋体"/>
                <w:sz w:val="18"/>
                <w:szCs w:val="18"/>
              </w:rPr>
            </w:pPr>
          </w:p>
        </w:tc>
      </w:tr>
      <w:tr w:rsidR="00B862AA" w:rsidTr="00A82614">
        <w:trPr>
          <w:trHeight w:val="240"/>
        </w:trPr>
        <w:tc>
          <w:tcPr>
            <w:tcW w:w="41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B862AA" w:rsidRDefault="00B862AA" w:rsidP="00B862AA">
            <w:pPr>
              <w:spacing w:before="40" w:after="40" w:line="240" w:lineRule="exact"/>
              <w:rPr>
                <w:rFonts w:ascii="宋体" w:eastAsia="宋体" w:hAnsi="宋体" w:cs="宋体"/>
                <w:sz w:val="18"/>
                <w:szCs w:val="18"/>
              </w:rPr>
            </w:pPr>
            <w:r>
              <w:rPr>
                <w:rFonts w:ascii="宋体" w:eastAsia="宋体" w:hAnsi="宋体" w:cs="宋体" w:hint="eastAsia"/>
                <w:sz w:val="18"/>
                <w:szCs w:val="18"/>
              </w:rPr>
              <w:t>企业取得子公司、联营企业及合营企业的投资成本小于取得投资时应享有被投资单位可辨认净资产公允价值产生的收益</w:t>
            </w:r>
          </w:p>
        </w:tc>
        <w:tc>
          <w:tcPr>
            <w:tcW w:w="3969" w:type="dxa"/>
            <w:tcBorders>
              <w:top w:val="single" w:sz="2" w:space="0" w:color="auto"/>
              <w:left w:val="single" w:sz="2" w:space="0" w:color="auto"/>
              <w:bottom w:val="single" w:sz="2" w:space="0" w:color="auto"/>
              <w:right w:val="single" w:sz="2" w:space="0" w:color="auto"/>
            </w:tcBorders>
            <w:vAlign w:val="center"/>
            <w:hideMark/>
          </w:tcPr>
          <w:p w:rsidR="00B862AA" w:rsidRDefault="00B862AA" w:rsidP="00B862AA">
            <w:pPr>
              <w:spacing w:line="240" w:lineRule="exact"/>
              <w:jc w:val="right"/>
              <w:rPr>
                <w:rFonts w:ascii="宋体" w:eastAsia="宋体" w:hAnsi="宋体" w:cs="宋体"/>
                <w:sz w:val="18"/>
                <w:szCs w:val="18"/>
              </w:rPr>
            </w:pPr>
            <w:r>
              <w:rPr>
                <w:rFonts w:ascii="宋体" w:eastAsia="宋体" w:hAnsi="宋体" w:cs="宋体" w:hint="eastAsia"/>
                <w:sz w:val="18"/>
                <w:szCs w:val="18"/>
              </w:rPr>
              <w:t>274,470.97</w:t>
            </w:r>
          </w:p>
        </w:tc>
        <w:tc>
          <w:tcPr>
            <w:tcW w:w="1534" w:type="dxa"/>
            <w:tcBorders>
              <w:top w:val="single" w:sz="2" w:space="0" w:color="auto"/>
              <w:left w:val="single" w:sz="2" w:space="0" w:color="auto"/>
              <w:bottom w:val="single" w:sz="2" w:space="0" w:color="auto"/>
              <w:right w:val="single" w:sz="2" w:space="0" w:color="auto"/>
            </w:tcBorders>
            <w:vAlign w:val="center"/>
          </w:tcPr>
          <w:p w:rsidR="00B862AA" w:rsidRDefault="00B862AA" w:rsidP="00B862AA">
            <w:pPr>
              <w:spacing w:line="240" w:lineRule="exact"/>
              <w:rPr>
                <w:rFonts w:ascii="宋体" w:eastAsia="宋体" w:hAnsi="宋体" w:cs="宋体"/>
                <w:sz w:val="18"/>
                <w:szCs w:val="18"/>
              </w:rPr>
            </w:pPr>
          </w:p>
        </w:tc>
      </w:tr>
      <w:tr w:rsidR="00B862AA" w:rsidTr="00A82614">
        <w:trPr>
          <w:trHeight w:val="240"/>
        </w:trPr>
        <w:tc>
          <w:tcPr>
            <w:tcW w:w="41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B862AA" w:rsidRDefault="00B862AA" w:rsidP="00B862AA">
            <w:pPr>
              <w:spacing w:before="40" w:after="40" w:line="240" w:lineRule="exact"/>
              <w:rPr>
                <w:rFonts w:ascii="宋体" w:eastAsia="宋体" w:hAnsi="宋体" w:cs="宋体"/>
                <w:sz w:val="18"/>
                <w:szCs w:val="18"/>
              </w:rPr>
            </w:pPr>
            <w:r>
              <w:rPr>
                <w:rFonts w:ascii="宋体" w:eastAsia="宋体" w:hAnsi="宋体" w:cs="宋体" w:hint="eastAsia"/>
                <w:sz w:val="18"/>
                <w:szCs w:val="18"/>
              </w:rPr>
              <w:t>除上述各项之外的其他营业外收入和支出</w:t>
            </w:r>
          </w:p>
        </w:tc>
        <w:tc>
          <w:tcPr>
            <w:tcW w:w="3969" w:type="dxa"/>
            <w:tcBorders>
              <w:top w:val="single" w:sz="2" w:space="0" w:color="auto"/>
              <w:left w:val="single" w:sz="2" w:space="0" w:color="auto"/>
              <w:bottom w:val="single" w:sz="2" w:space="0" w:color="auto"/>
              <w:right w:val="single" w:sz="2" w:space="0" w:color="auto"/>
            </w:tcBorders>
            <w:vAlign w:val="center"/>
            <w:hideMark/>
          </w:tcPr>
          <w:p w:rsidR="00B862AA" w:rsidRDefault="00B862AA" w:rsidP="00B862AA">
            <w:pPr>
              <w:spacing w:line="240" w:lineRule="exact"/>
              <w:jc w:val="right"/>
              <w:rPr>
                <w:rFonts w:ascii="宋体" w:eastAsia="宋体" w:hAnsi="宋体" w:cs="宋体"/>
                <w:sz w:val="18"/>
                <w:szCs w:val="18"/>
              </w:rPr>
            </w:pPr>
            <w:r>
              <w:rPr>
                <w:rFonts w:ascii="宋体" w:eastAsia="宋体" w:hAnsi="宋体" w:cs="宋体" w:hint="eastAsia"/>
                <w:sz w:val="18"/>
                <w:szCs w:val="18"/>
              </w:rPr>
              <w:t>755,359.40</w:t>
            </w:r>
          </w:p>
        </w:tc>
        <w:tc>
          <w:tcPr>
            <w:tcW w:w="1534" w:type="dxa"/>
            <w:tcBorders>
              <w:top w:val="single" w:sz="2" w:space="0" w:color="auto"/>
              <w:left w:val="single" w:sz="2" w:space="0" w:color="auto"/>
              <w:bottom w:val="single" w:sz="2" w:space="0" w:color="auto"/>
              <w:right w:val="single" w:sz="2" w:space="0" w:color="auto"/>
            </w:tcBorders>
            <w:vAlign w:val="center"/>
          </w:tcPr>
          <w:p w:rsidR="00B862AA" w:rsidRDefault="00B862AA" w:rsidP="00B862AA">
            <w:pPr>
              <w:spacing w:line="240" w:lineRule="exact"/>
              <w:rPr>
                <w:rFonts w:ascii="宋体" w:eastAsia="宋体" w:hAnsi="宋体" w:cs="宋体"/>
                <w:sz w:val="18"/>
                <w:szCs w:val="18"/>
              </w:rPr>
            </w:pPr>
          </w:p>
        </w:tc>
      </w:tr>
      <w:tr w:rsidR="00B862AA" w:rsidTr="00A82614">
        <w:trPr>
          <w:trHeight w:val="240"/>
        </w:trPr>
        <w:tc>
          <w:tcPr>
            <w:tcW w:w="41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B862AA" w:rsidRDefault="00B862AA" w:rsidP="00B862AA">
            <w:pPr>
              <w:spacing w:before="40" w:after="40" w:line="240" w:lineRule="exact"/>
              <w:rPr>
                <w:rFonts w:ascii="宋体" w:eastAsia="宋体" w:hAnsi="宋体" w:cs="宋体"/>
                <w:sz w:val="18"/>
                <w:szCs w:val="18"/>
              </w:rPr>
            </w:pPr>
            <w:r>
              <w:rPr>
                <w:rFonts w:ascii="宋体" w:eastAsia="宋体" w:hAnsi="宋体" w:cs="宋体" w:hint="eastAsia"/>
                <w:sz w:val="18"/>
                <w:szCs w:val="18"/>
              </w:rPr>
              <w:t>减：所得税影响额</w:t>
            </w:r>
          </w:p>
        </w:tc>
        <w:tc>
          <w:tcPr>
            <w:tcW w:w="3969" w:type="dxa"/>
            <w:tcBorders>
              <w:top w:val="single" w:sz="2" w:space="0" w:color="auto"/>
              <w:left w:val="single" w:sz="2" w:space="0" w:color="auto"/>
              <w:bottom w:val="single" w:sz="2" w:space="0" w:color="auto"/>
              <w:right w:val="single" w:sz="2" w:space="0" w:color="auto"/>
            </w:tcBorders>
            <w:vAlign w:val="center"/>
            <w:hideMark/>
          </w:tcPr>
          <w:p w:rsidR="00B862AA" w:rsidRDefault="00B862AA" w:rsidP="00B862AA">
            <w:pPr>
              <w:spacing w:line="240" w:lineRule="exact"/>
              <w:jc w:val="right"/>
              <w:rPr>
                <w:rFonts w:ascii="宋体" w:eastAsia="宋体" w:hAnsi="宋体" w:cs="宋体"/>
                <w:sz w:val="18"/>
                <w:szCs w:val="18"/>
              </w:rPr>
            </w:pPr>
            <w:r w:rsidRPr="000F5E2D">
              <w:rPr>
                <w:rFonts w:ascii="宋体" w:eastAsia="宋体" w:hAnsi="宋体" w:cs="宋体"/>
                <w:sz w:val="18"/>
                <w:szCs w:val="18"/>
              </w:rPr>
              <w:t>3,031,797.42</w:t>
            </w:r>
          </w:p>
        </w:tc>
        <w:tc>
          <w:tcPr>
            <w:tcW w:w="1534" w:type="dxa"/>
            <w:tcBorders>
              <w:top w:val="single" w:sz="2" w:space="0" w:color="auto"/>
              <w:left w:val="single" w:sz="2" w:space="0" w:color="auto"/>
              <w:bottom w:val="single" w:sz="2" w:space="0" w:color="auto"/>
              <w:right w:val="single" w:sz="2" w:space="0" w:color="auto"/>
            </w:tcBorders>
            <w:vAlign w:val="center"/>
          </w:tcPr>
          <w:p w:rsidR="00B862AA" w:rsidRDefault="00B862AA" w:rsidP="00B862AA">
            <w:pPr>
              <w:spacing w:line="240" w:lineRule="exact"/>
              <w:rPr>
                <w:rFonts w:ascii="宋体" w:eastAsia="宋体" w:hAnsi="宋体" w:cs="宋体"/>
                <w:sz w:val="18"/>
                <w:szCs w:val="18"/>
              </w:rPr>
            </w:pPr>
          </w:p>
        </w:tc>
      </w:tr>
      <w:tr w:rsidR="00B862AA" w:rsidTr="00A82614">
        <w:trPr>
          <w:trHeight w:val="240"/>
        </w:trPr>
        <w:tc>
          <w:tcPr>
            <w:tcW w:w="41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B862AA" w:rsidRDefault="00B862AA" w:rsidP="00B862AA">
            <w:pPr>
              <w:spacing w:before="40" w:after="40" w:line="240" w:lineRule="exact"/>
              <w:ind w:firstLineChars="200" w:firstLine="360"/>
              <w:rPr>
                <w:rFonts w:ascii="宋体" w:eastAsia="宋体" w:hAnsi="宋体" w:cs="宋体"/>
                <w:sz w:val="18"/>
                <w:szCs w:val="18"/>
              </w:rPr>
            </w:pPr>
            <w:r>
              <w:rPr>
                <w:rFonts w:ascii="宋体" w:eastAsia="宋体" w:hAnsi="宋体" w:cs="宋体" w:hint="eastAsia"/>
                <w:sz w:val="18"/>
                <w:szCs w:val="18"/>
              </w:rPr>
              <w:t>少数股东权益影响额（税后）</w:t>
            </w:r>
          </w:p>
        </w:tc>
        <w:tc>
          <w:tcPr>
            <w:tcW w:w="3969" w:type="dxa"/>
            <w:tcBorders>
              <w:top w:val="single" w:sz="2" w:space="0" w:color="auto"/>
              <w:left w:val="single" w:sz="2" w:space="0" w:color="auto"/>
              <w:bottom w:val="single" w:sz="2" w:space="0" w:color="auto"/>
              <w:right w:val="single" w:sz="2" w:space="0" w:color="auto"/>
            </w:tcBorders>
            <w:vAlign w:val="center"/>
            <w:hideMark/>
          </w:tcPr>
          <w:p w:rsidR="00B862AA" w:rsidRDefault="00B862AA" w:rsidP="00B862AA">
            <w:pPr>
              <w:spacing w:line="240" w:lineRule="exact"/>
              <w:jc w:val="right"/>
              <w:rPr>
                <w:rFonts w:ascii="宋体" w:eastAsia="宋体" w:hAnsi="宋体" w:cs="宋体"/>
                <w:sz w:val="18"/>
                <w:szCs w:val="18"/>
              </w:rPr>
            </w:pPr>
            <w:r>
              <w:rPr>
                <w:rFonts w:ascii="宋体" w:eastAsia="宋体" w:hAnsi="宋体" w:cs="宋体" w:hint="eastAsia"/>
                <w:sz w:val="18"/>
                <w:szCs w:val="18"/>
              </w:rPr>
              <w:t>141,263.48</w:t>
            </w:r>
          </w:p>
        </w:tc>
        <w:tc>
          <w:tcPr>
            <w:tcW w:w="1534" w:type="dxa"/>
            <w:tcBorders>
              <w:top w:val="single" w:sz="2" w:space="0" w:color="auto"/>
              <w:left w:val="single" w:sz="2" w:space="0" w:color="auto"/>
              <w:bottom w:val="single" w:sz="2" w:space="0" w:color="auto"/>
              <w:right w:val="single" w:sz="2" w:space="0" w:color="auto"/>
            </w:tcBorders>
            <w:vAlign w:val="center"/>
          </w:tcPr>
          <w:p w:rsidR="00B862AA" w:rsidRDefault="00B862AA" w:rsidP="00B862AA">
            <w:pPr>
              <w:spacing w:line="240" w:lineRule="exact"/>
              <w:rPr>
                <w:rFonts w:ascii="宋体" w:eastAsia="宋体" w:hAnsi="宋体" w:cs="宋体"/>
                <w:sz w:val="18"/>
                <w:szCs w:val="18"/>
              </w:rPr>
            </w:pPr>
          </w:p>
        </w:tc>
      </w:tr>
      <w:tr w:rsidR="00B862AA" w:rsidTr="00A82614">
        <w:trPr>
          <w:trHeight w:val="240"/>
        </w:trPr>
        <w:tc>
          <w:tcPr>
            <w:tcW w:w="41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B862AA" w:rsidRDefault="00B862AA" w:rsidP="00B862AA">
            <w:pPr>
              <w:spacing w:before="40" w:after="40" w:line="240" w:lineRule="exact"/>
              <w:rPr>
                <w:rFonts w:ascii="宋体" w:eastAsia="宋体" w:hAnsi="宋体" w:cs="宋体"/>
                <w:sz w:val="18"/>
                <w:szCs w:val="18"/>
              </w:rPr>
            </w:pPr>
            <w:r>
              <w:rPr>
                <w:rFonts w:ascii="宋体" w:eastAsia="宋体" w:hAnsi="宋体" w:cs="宋体" w:hint="eastAsia"/>
                <w:sz w:val="18"/>
                <w:szCs w:val="18"/>
              </w:rPr>
              <w:t>合计</w:t>
            </w:r>
          </w:p>
        </w:tc>
        <w:tc>
          <w:tcPr>
            <w:tcW w:w="3969" w:type="dxa"/>
            <w:tcBorders>
              <w:top w:val="single" w:sz="2" w:space="0" w:color="auto"/>
              <w:left w:val="single" w:sz="2" w:space="0" w:color="auto"/>
              <w:bottom w:val="single" w:sz="2" w:space="0" w:color="auto"/>
              <w:right w:val="single" w:sz="2" w:space="0" w:color="auto"/>
            </w:tcBorders>
            <w:vAlign w:val="center"/>
            <w:hideMark/>
          </w:tcPr>
          <w:p w:rsidR="00B862AA" w:rsidRDefault="00B862AA" w:rsidP="00B862AA">
            <w:pPr>
              <w:spacing w:line="240" w:lineRule="exact"/>
              <w:jc w:val="right"/>
              <w:rPr>
                <w:rFonts w:ascii="宋体" w:eastAsia="宋体" w:hAnsi="宋体" w:cs="宋体"/>
                <w:sz w:val="18"/>
                <w:szCs w:val="18"/>
              </w:rPr>
            </w:pPr>
            <w:r w:rsidRPr="000F5E2D">
              <w:rPr>
                <w:rFonts w:ascii="宋体" w:eastAsia="宋体" w:hAnsi="宋体" w:cs="宋体"/>
                <w:sz w:val="18"/>
                <w:szCs w:val="18"/>
              </w:rPr>
              <w:t>16,303,306.21</w:t>
            </w:r>
          </w:p>
        </w:tc>
        <w:tc>
          <w:tcPr>
            <w:tcW w:w="1534"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B862AA" w:rsidRDefault="00B862AA" w:rsidP="00B862AA">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w:t>
            </w:r>
          </w:p>
        </w:tc>
      </w:tr>
    </w:tbl>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其他符合非经常性损益定义的损益项目的具体情况：</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公司不存在其他符合非经常性损益定义的损益项目的具体情况。</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将《公开发行证券的公司信息披露解释性公告第1号——非经常性损益》中列举的非经常性损益项目界定为经常性损益项目的情况说明</w:t>
      </w:r>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pStyle w:val="3"/>
        <w:spacing w:line="280" w:lineRule="exact"/>
        <w:jc w:val="left"/>
        <w:rPr>
          <w:rFonts w:ascii="宋体" w:hAnsi="宋体" w:cs="宋体"/>
          <w:b/>
          <w:bCs/>
        </w:rPr>
      </w:pPr>
      <w:bookmarkStart w:id="448" w:name="_Toc989334"/>
      <w:r>
        <w:rPr>
          <w:rFonts w:ascii="宋体" w:hAnsi="宋体" w:cs="宋体" w:hint="eastAsia"/>
          <w:b/>
          <w:bCs/>
        </w:rPr>
        <w:t>2、净资产收益率及每股收益</w:t>
      </w:r>
      <w:bookmarkEnd w:id="448"/>
    </w:p>
    <w:tbl>
      <w:tblPr>
        <w:tblW w:w="964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66"/>
        <w:gridCol w:w="2126"/>
        <w:gridCol w:w="2242"/>
        <w:gridCol w:w="2411"/>
      </w:tblGrid>
      <w:tr w:rsidR="00745844" w:rsidTr="00023F26">
        <w:trPr>
          <w:trHeight w:val="240"/>
        </w:trPr>
        <w:tc>
          <w:tcPr>
            <w:tcW w:w="2866"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报告期利润</w:t>
            </w:r>
          </w:p>
        </w:tc>
        <w:tc>
          <w:tcPr>
            <w:tcW w:w="2126" w:type="dxa"/>
            <w:vMerge w:val="restart"/>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加权平均净资产收益率</w:t>
            </w:r>
          </w:p>
        </w:tc>
        <w:tc>
          <w:tcPr>
            <w:tcW w:w="4653" w:type="dxa"/>
            <w:gridSpan w:val="2"/>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每股收益</w:t>
            </w:r>
          </w:p>
        </w:tc>
      </w:tr>
      <w:tr w:rsidR="00745844" w:rsidTr="00023F26">
        <w:trPr>
          <w:trHeight w:val="240"/>
        </w:trPr>
        <w:tc>
          <w:tcPr>
            <w:tcW w:w="2866"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2126" w:type="dxa"/>
            <w:vMerge/>
            <w:tcBorders>
              <w:top w:val="single" w:sz="2" w:space="0" w:color="auto"/>
              <w:left w:val="single" w:sz="2" w:space="0" w:color="auto"/>
              <w:bottom w:val="single" w:sz="2" w:space="0" w:color="auto"/>
              <w:right w:val="single" w:sz="2" w:space="0" w:color="auto"/>
            </w:tcBorders>
            <w:vAlign w:val="center"/>
            <w:hideMark/>
          </w:tcPr>
          <w:p w:rsidR="00745844" w:rsidRDefault="00745844">
            <w:pPr>
              <w:widowControl/>
              <w:rPr>
                <w:rFonts w:ascii="宋体" w:eastAsia="宋体" w:hAnsi="宋体" w:cs="宋体"/>
                <w:sz w:val="18"/>
                <w:szCs w:val="18"/>
              </w:rPr>
            </w:pPr>
          </w:p>
        </w:tc>
        <w:tc>
          <w:tcPr>
            <w:tcW w:w="2242"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基本每股收益（元/股）</w:t>
            </w:r>
          </w:p>
        </w:tc>
        <w:tc>
          <w:tcPr>
            <w:tcW w:w="2411"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jc w:val="center"/>
              <w:rPr>
                <w:rFonts w:ascii="宋体" w:eastAsia="宋体" w:hAnsi="宋体" w:cs="宋体"/>
                <w:sz w:val="18"/>
                <w:szCs w:val="18"/>
              </w:rPr>
            </w:pPr>
            <w:r>
              <w:rPr>
                <w:rFonts w:ascii="宋体" w:eastAsia="宋体" w:hAnsi="宋体" w:cs="宋体" w:hint="eastAsia"/>
                <w:sz w:val="18"/>
                <w:szCs w:val="18"/>
              </w:rPr>
              <w:t>稀释每股收益（元/股）</w:t>
            </w:r>
          </w:p>
        </w:tc>
      </w:tr>
      <w:tr w:rsidR="00745844" w:rsidTr="00023F26">
        <w:trPr>
          <w:trHeight w:val="240"/>
        </w:trPr>
        <w:tc>
          <w:tcPr>
            <w:tcW w:w="286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归属于公司普通股股东的净利润</w:t>
            </w:r>
          </w:p>
        </w:tc>
        <w:tc>
          <w:tcPr>
            <w:tcW w:w="2126"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0F5E2D">
            <w:pPr>
              <w:spacing w:line="240" w:lineRule="exact"/>
              <w:jc w:val="right"/>
              <w:rPr>
                <w:rFonts w:ascii="宋体" w:eastAsia="宋体" w:hAnsi="宋体" w:cs="宋体"/>
                <w:sz w:val="18"/>
                <w:szCs w:val="18"/>
              </w:rPr>
            </w:pPr>
            <w:r>
              <w:rPr>
                <w:rFonts w:ascii="宋体" w:eastAsia="宋体" w:hAnsi="宋体" w:cs="宋体" w:hint="eastAsia"/>
                <w:sz w:val="18"/>
                <w:szCs w:val="18"/>
              </w:rPr>
              <w:t>1.</w:t>
            </w:r>
            <w:r w:rsidR="000F5E2D">
              <w:rPr>
                <w:rFonts w:ascii="宋体" w:eastAsia="宋体" w:hAnsi="宋体" w:cs="宋体" w:hint="eastAsia"/>
                <w:sz w:val="18"/>
                <w:szCs w:val="18"/>
              </w:rPr>
              <w:t>2</w:t>
            </w:r>
            <w:r w:rsidR="000F5E2D">
              <w:rPr>
                <w:rFonts w:ascii="宋体" w:eastAsia="宋体" w:hAnsi="宋体" w:cs="宋体"/>
                <w:sz w:val="18"/>
                <w:szCs w:val="18"/>
              </w:rPr>
              <w:t>8</w:t>
            </w:r>
            <w:r>
              <w:rPr>
                <w:rFonts w:ascii="宋体" w:eastAsia="宋体" w:hAnsi="宋体" w:cs="宋体" w:hint="eastAsia"/>
                <w:sz w:val="18"/>
                <w:szCs w:val="18"/>
              </w:rPr>
              <w:t>%</w:t>
            </w:r>
          </w:p>
        </w:tc>
        <w:tc>
          <w:tcPr>
            <w:tcW w:w="2242"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0.05</w:t>
            </w:r>
          </w:p>
        </w:tc>
        <w:tc>
          <w:tcPr>
            <w:tcW w:w="2411" w:type="dxa"/>
            <w:tcBorders>
              <w:top w:val="single" w:sz="2" w:space="0" w:color="auto"/>
              <w:left w:val="single" w:sz="2" w:space="0" w:color="auto"/>
              <w:bottom w:val="single" w:sz="2" w:space="0" w:color="auto"/>
              <w:right w:val="single" w:sz="2" w:space="0" w:color="auto"/>
            </w:tcBorders>
            <w:vAlign w:val="center"/>
            <w:hideMark/>
          </w:tcPr>
          <w:p w:rsidR="00745844" w:rsidRDefault="00745844">
            <w:pPr>
              <w:spacing w:line="240" w:lineRule="exact"/>
              <w:jc w:val="right"/>
              <w:rPr>
                <w:rFonts w:ascii="宋体" w:eastAsia="宋体" w:hAnsi="宋体" w:cs="宋体"/>
                <w:sz w:val="18"/>
                <w:szCs w:val="18"/>
              </w:rPr>
            </w:pPr>
            <w:r>
              <w:rPr>
                <w:rFonts w:ascii="宋体" w:eastAsia="宋体" w:hAnsi="宋体" w:cs="宋体" w:hint="eastAsia"/>
                <w:sz w:val="18"/>
                <w:szCs w:val="18"/>
              </w:rPr>
              <w:t>0.05</w:t>
            </w:r>
          </w:p>
        </w:tc>
      </w:tr>
      <w:tr w:rsidR="00745844" w:rsidTr="00023F26">
        <w:trPr>
          <w:trHeight w:val="240"/>
        </w:trPr>
        <w:tc>
          <w:tcPr>
            <w:tcW w:w="2866" w:type="dxa"/>
            <w:tcBorders>
              <w:top w:val="single" w:sz="2" w:space="0" w:color="auto"/>
              <w:left w:val="single" w:sz="2" w:space="0" w:color="auto"/>
              <w:bottom w:val="single" w:sz="2" w:space="0" w:color="auto"/>
              <w:right w:val="single" w:sz="2" w:space="0" w:color="auto"/>
            </w:tcBorders>
            <w:shd w:val="clear" w:color="auto" w:fill="D3D3D3"/>
            <w:vAlign w:val="center"/>
            <w:hideMark/>
          </w:tcPr>
          <w:p w:rsidR="00745844" w:rsidRDefault="00745844">
            <w:pPr>
              <w:spacing w:before="40" w:after="40" w:line="240" w:lineRule="exact"/>
              <w:rPr>
                <w:rFonts w:ascii="宋体" w:eastAsia="宋体" w:hAnsi="宋体" w:cs="宋体"/>
                <w:sz w:val="18"/>
                <w:szCs w:val="18"/>
              </w:rPr>
            </w:pPr>
            <w:r>
              <w:rPr>
                <w:rFonts w:ascii="宋体" w:eastAsia="宋体" w:hAnsi="宋体" w:cs="宋体" w:hint="eastAsia"/>
                <w:sz w:val="18"/>
                <w:szCs w:val="18"/>
              </w:rPr>
              <w:t>扣除非经常性损益后归属于公司普通股股东的净利润</w:t>
            </w:r>
          </w:p>
        </w:tc>
        <w:tc>
          <w:tcPr>
            <w:tcW w:w="2126" w:type="dxa"/>
            <w:tcBorders>
              <w:top w:val="single" w:sz="2" w:space="0" w:color="auto"/>
              <w:left w:val="single" w:sz="2" w:space="0" w:color="auto"/>
              <w:bottom w:val="single" w:sz="2" w:space="0" w:color="auto"/>
              <w:right w:val="single" w:sz="2" w:space="0" w:color="auto"/>
            </w:tcBorders>
            <w:vAlign w:val="center"/>
            <w:hideMark/>
          </w:tcPr>
          <w:p w:rsidR="00745844" w:rsidRDefault="000F5E2D">
            <w:pPr>
              <w:spacing w:line="240" w:lineRule="exact"/>
              <w:jc w:val="right"/>
              <w:rPr>
                <w:rFonts w:ascii="宋体" w:eastAsia="宋体" w:hAnsi="宋体" w:cs="宋体"/>
                <w:sz w:val="18"/>
                <w:szCs w:val="18"/>
              </w:rPr>
            </w:pPr>
            <w:r>
              <w:rPr>
                <w:rFonts w:ascii="宋体" w:eastAsia="宋体" w:hAnsi="宋体" w:cs="宋体"/>
                <w:sz w:val="18"/>
                <w:szCs w:val="18"/>
              </w:rPr>
              <w:t>0.26</w:t>
            </w:r>
            <w:r w:rsidR="00745844">
              <w:rPr>
                <w:rFonts w:ascii="宋体" w:eastAsia="宋体" w:hAnsi="宋体" w:cs="宋体" w:hint="eastAsia"/>
                <w:sz w:val="18"/>
                <w:szCs w:val="18"/>
              </w:rPr>
              <w:t>%</w:t>
            </w:r>
          </w:p>
        </w:tc>
        <w:tc>
          <w:tcPr>
            <w:tcW w:w="2242"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0F5E2D">
            <w:pPr>
              <w:spacing w:line="240" w:lineRule="exact"/>
              <w:jc w:val="right"/>
              <w:rPr>
                <w:rFonts w:ascii="宋体" w:eastAsia="宋体" w:hAnsi="宋体" w:cs="宋体"/>
                <w:sz w:val="18"/>
                <w:szCs w:val="18"/>
              </w:rPr>
            </w:pPr>
            <w:r>
              <w:rPr>
                <w:rFonts w:ascii="宋体" w:eastAsia="宋体" w:hAnsi="宋体" w:cs="宋体" w:hint="eastAsia"/>
                <w:sz w:val="18"/>
                <w:szCs w:val="18"/>
              </w:rPr>
              <w:t>0.</w:t>
            </w:r>
            <w:r w:rsidR="000F5E2D">
              <w:rPr>
                <w:rFonts w:ascii="宋体" w:eastAsia="宋体" w:hAnsi="宋体" w:cs="宋体" w:hint="eastAsia"/>
                <w:sz w:val="18"/>
                <w:szCs w:val="18"/>
              </w:rPr>
              <w:t>0</w:t>
            </w:r>
            <w:r w:rsidR="000F5E2D">
              <w:rPr>
                <w:rFonts w:ascii="宋体" w:eastAsia="宋体" w:hAnsi="宋体" w:cs="宋体"/>
                <w:sz w:val="18"/>
                <w:szCs w:val="18"/>
              </w:rPr>
              <w:t>1</w:t>
            </w:r>
          </w:p>
        </w:tc>
        <w:tc>
          <w:tcPr>
            <w:tcW w:w="2411" w:type="dxa"/>
            <w:tcBorders>
              <w:top w:val="single" w:sz="2" w:space="0" w:color="auto"/>
              <w:left w:val="single" w:sz="2" w:space="0" w:color="auto"/>
              <w:bottom w:val="single" w:sz="2" w:space="0" w:color="auto"/>
              <w:right w:val="single" w:sz="2" w:space="0" w:color="auto"/>
            </w:tcBorders>
            <w:vAlign w:val="center"/>
            <w:hideMark/>
          </w:tcPr>
          <w:p w:rsidR="00745844" w:rsidRDefault="00745844" w:rsidP="000F5E2D">
            <w:pPr>
              <w:spacing w:line="240" w:lineRule="exact"/>
              <w:jc w:val="right"/>
              <w:rPr>
                <w:rFonts w:ascii="宋体" w:eastAsia="宋体" w:hAnsi="宋体" w:cs="宋体"/>
                <w:sz w:val="18"/>
                <w:szCs w:val="18"/>
              </w:rPr>
            </w:pPr>
            <w:r>
              <w:rPr>
                <w:rFonts w:ascii="宋体" w:eastAsia="宋体" w:hAnsi="宋体" w:cs="宋体" w:hint="eastAsia"/>
                <w:sz w:val="18"/>
                <w:szCs w:val="18"/>
              </w:rPr>
              <w:t>0.</w:t>
            </w:r>
            <w:r w:rsidR="000F5E2D">
              <w:rPr>
                <w:rFonts w:ascii="宋体" w:eastAsia="宋体" w:hAnsi="宋体" w:cs="宋体" w:hint="eastAsia"/>
                <w:sz w:val="18"/>
                <w:szCs w:val="18"/>
              </w:rPr>
              <w:t>0</w:t>
            </w:r>
            <w:r w:rsidR="000F5E2D">
              <w:rPr>
                <w:rFonts w:ascii="宋体" w:eastAsia="宋体" w:hAnsi="宋体" w:cs="宋体"/>
                <w:sz w:val="18"/>
                <w:szCs w:val="18"/>
              </w:rPr>
              <w:t>1</w:t>
            </w:r>
          </w:p>
        </w:tc>
      </w:tr>
    </w:tbl>
    <w:p w:rsidR="00745844" w:rsidRDefault="00745844" w:rsidP="00745844">
      <w:pPr>
        <w:pStyle w:val="3"/>
        <w:spacing w:line="280" w:lineRule="exact"/>
        <w:jc w:val="left"/>
        <w:rPr>
          <w:rFonts w:ascii="宋体" w:hAnsi="宋体" w:cs="宋体"/>
          <w:b/>
          <w:bCs/>
        </w:rPr>
      </w:pPr>
      <w:bookmarkStart w:id="449" w:name="_Toc989335"/>
      <w:r>
        <w:rPr>
          <w:rFonts w:ascii="宋体" w:hAnsi="宋体" w:cs="宋体" w:hint="eastAsia"/>
          <w:b/>
          <w:bCs/>
        </w:rPr>
        <w:lastRenderedPageBreak/>
        <w:t>3、境内外会计准则下会计数据差异</w:t>
      </w:r>
      <w:bookmarkEnd w:id="449"/>
    </w:p>
    <w:p w:rsidR="00745844" w:rsidRDefault="00745844" w:rsidP="00745844">
      <w:pPr>
        <w:keepNext/>
        <w:keepLines/>
        <w:spacing w:before="300" w:after="300" w:line="280" w:lineRule="exact"/>
        <w:outlineLvl w:val="3"/>
        <w:rPr>
          <w:rFonts w:ascii="宋体" w:eastAsia="宋体" w:hAnsi="宋体" w:cs="宋体"/>
          <w:b/>
          <w:bCs/>
          <w:szCs w:val="21"/>
        </w:rPr>
      </w:pPr>
      <w:bookmarkStart w:id="450" w:name="_Toc989336"/>
      <w:r>
        <w:rPr>
          <w:rFonts w:ascii="宋体" w:eastAsia="宋体" w:hAnsi="宋体" w:cs="宋体" w:hint="eastAsia"/>
          <w:b/>
          <w:bCs/>
          <w:szCs w:val="21"/>
        </w:rPr>
        <w:t>（1） 同时按照国际会计准则与按中国会计准则披露的财务</w:t>
      </w:r>
      <w:proofErr w:type="gramStart"/>
      <w:r>
        <w:rPr>
          <w:rFonts w:ascii="宋体" w:eastAsia="宋体" w:hAnsi="宋体" w:cs="宋体" w:hint="eastAsia"/>
          <w:b/>
          <w:bCs/>
          <w:szCs w:val="21"/>
        </w:rPr>
        <w:t>报告中净利润</w:t>
      </w:r>
      <w:proofErr w:type="gramEnd"/>
      <w:r>
        <w:rPr>
          <w:rFonts w:ascii="宋体" w:eastAsia="宋体" w:hAnsi="宋体" w:cs="宋体" w:hint="eastAsia"/>
          <w:b/>
          <w:bCs/>
          <w:szCs w:val="21"/>
        </w:rPr>
        <w:t>和净资产差异情况</w:t>
      </w:r>
      <w:bookmarkEnd w:id="450"/>
    </w:p>
    <w:p w:rsidR="00745844" w:rsidRDefault="00745844" w:rsidP="00745844">
      <w:pPr>
        <w:spacing w:before="100" w:after="100"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keepNext/>
        <w:keepLines/>
        <w:spacing w:before="300" w:after="300" w:line="280" w:lineRule="exact"/>
        <w:outlineLvl w:val="3"/>
        <w:rPr>
          <w:rFonts w:ascii="宋体" w:eastAsia="宋体" w:hAnsi="宋体" w:cs="宋体"/>
          <w:b/>
          <w:bCs/>
          <w:szCs w:val="21"/>
        </w:rPr>
      </w:pPr>
      <w:bookmarkStart w:id="451" w:name="_Toc989337"/>
      <w:r>
        <w:rPr>
          <w:rFonts w:ascii="宋体" w:eastAsia="宋体" w:hAnsi="宋体" w:cs="宋体" w:hint="eastAsia"/>
          <w:b/>
          <w:bCs/>
          <w:szCs w:val="21"/>
        </w:rPr>
        <w:t>（2） 同时按照境外会计准则与按中国会计准则披露的财务</w:t>
      </w:r>
      <w:proofErr w:type="gramStart"/>
      <w:r>
        <w:rPr>
          <w:rFonts w:ascii="宋体" w:eastAsia="宋体" w:hAnsi="宋体" w:cs="宋体" w:hint="eastAsia"/>
          <w:b/>
          <w:bCs/>
          <w:szCs w:val="21"/>
        </w:rPr>
        <w:t>报告中净利润</w:t>
      </w:r>
      <w:proofErr w:type="gramEnd"/>
      <w:r>
        <w:rPr>
          <w:rFonts w:ascii="宋体" w:eastAsia="宋体" w:hAnsi="宋体" w:cs="宋体" w:hint="eastAsia"/>
          <w:b/>
          <w:bCs/>
          <w:szCs w:val="21"/>
        </w:rPr>
        <w:t>和净资产差异情况</w:t>
      </w:r>
      <w:bookmarkEnd w:id="451"/>
    </w:p>
    <w:p w:rsidR="00745844" w:rsidRDefault="00745844" w:rsidP="00745844">
      <w:pPr>
        <w:spacing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745844" w:rsidRDefault="00745844" w:rsidP="00745844">
      <w:pPr>
        <w:keepNext/>
        <w:keepLines/>
        <w:spacing w:before="300" w:after="300" w:line="280" w:lineRule="exact"/>
        <w:outlineLvl w:val="3"/>
        <w:rPr>
          <w:rFonts w:ascii="宋体" w:eastAsia="宋体" w:hAnsi="宋体" w:cs="宋体"/>
          <w:b/>
          <w:bCs/>
          <w:szCs w:val="21"/>
        </w:rPr>
      </w:pPr>
      <w:bookmarkStart w:id="452" w:name="_Toc989338"/>
      <w:r>
        <w:rPr>
          <w:rFonts w:ascii="宋体" w:eastAsia="宋体" w:hAnsi="宋体" w:cs="宋体" w:hint="eastAsia"/>
          <w:b/>
          <w:bCs/>
          <w:szCs w:val="21"/>
        </w:rPr>
        <w:t>（3） 境内外会计准则下会计数据差异原因说明，对已经境外审计机构审计的数据进行差异调节的，应注明该境外机构的名称</w:t>
      </w:r>
      <w:bookmarkEnd w:id="452"/>
    </w:p>
    <w:p w:rsidR="00CE6C6C" w:rsidRDefault="00CE6C6C" w:rsidP="00CE6C6C">
      <w:pPr>
        <w:spacing w:line="240" w:lineRule="exact"/>
        <w:rPr>
          <w:rFonts w:ascii="宋体" w:eastAsia="宋体" w:hAnsi="宋体" w:cs="宋体"/>
          <w:sz w:val="18"/>
          <w:szCs w:val="18"/>
        </w:rPr>
      </w:pPr>
      <w:r>
        <w:rPr>
          <w:rFonts w:ascii="宋体" w:eastAsia="宋体" w:hAnsi="宋体" w:cs="宋体" w:hint="eastAsia"/>
          <w:sz w:val="18"/>
          <w:szCs w:val="18"/>
        </w:rPr>
        <w:t xml:space="preserve">□适用 </w:t>
      </w:r>
      <w:r>
        <w:rPr>
          <w:rFonts w:ascii="宋体" w:eastAsia="宋体" w:hAnsi="宋体" w:cs="宋体"/>
          <w:sz w:val="18"/>
          <w:szCs w:val="18"/>
        </w:rPr>
        <w:sym w:font="Wingdings 2" w:char="F052"/>
      </w:r>
      <w:r>
        <w:rPr>
          <w:rFonts w:ascii="宋体" w:eastAsia="宋体" w:hAnsi="宋体" w:cs="宋体" w:hint="eastAsia"/>
          <w:sz w:val="18"/>
          <w:szCs w:val="18"/>
        </w:rPr>
        <w:t>不适用</w:t>
      </w:r>
    </w:p>
    <w:p w:rsidR="00A27D66" w:rsidRDefault="00A27D66" w:rsidP="00745844">
      <w:pPr>
        <w:spacing w:before="100" w:after="100" w:line="240" w:lineRule="exact"/>
      </w:pPr>
    </w:p>
    <w:p w:rsidR="006C26C5" w:rsidRPr="00FB6B2B" w:rsidRDefault="006C26C5" w:rsidP="00BD37D5">
      <w:pPr>
        <w:autoSpaceDE w:val="0"/>
        <w:autoSpaceDN w:val="0"/>
        <w:adjustRightInd w:val="0"/>
        <w:ind w:firstLineChars="500" w:firstLine="1205"/>
        <w:rPr>
          <w:rFonts w:ascii="宋体" w:eastAsia="宋体" w:hAnsi="宋体" w:cs="宋体"/>
          <w:b/>
          <w:kern w:val="0"/>
          <w:sz w:val="24"/>
          <w:szCs w:val="24"/>
        </w:rPr>
      </w:pPr>
    </w:p>
    <w:p w:rsidR="006C26C5" w:rsidRPr="00FB6B2B" w:rsidRDefault="006C26C5" w:rsidP="00BD37D5">
      <w:pPr>
        <w:autoSpaceDE w:val="0"/>
        <w:autoSpaceDN w:val="0"/>
        <w:adjustRightInd w:val="0"/>
        <w:ind w:firstLineChars="500" w:firstLine="1205"/>
        <w:rPr>
          <w:rFonts w:ascii="宋体" w:eastAsia="宋体" w:hAnsi="宋体" w:cs="宋体"/>
          <w:b/>
          <w:kern w:val="0"/>
          <w:sz w:val="24"/>
          <w:szCs w:val="24"/>
        </w:rPr>
      </w:pPr>
    </w:p>
    <w:p w:rsidR="00BD37D5" w:rsidRPr="00EC4BA6" w:rsidRDefault="00BD37D5" w:rsidP="00BD37D5">
      <w:pPr>
        <w:autoSpaceDE w:val="0"/>
        <w:autoSpaceDN w:val="0"/>
        <w:adjustRightInd w:val="0"/>
        <w:ind w:firstLineChars="500" w:firstLine="1205"/>
        <w:rPr>
          <w:rFonts w:ascii="仿宋" w:eastAsia="仿宋" w:hAnsi="仿宋"/>
          <w:kern w:val="0"/>
          <w:sz w:val="28"/>
          <w:szCs w:val="28"/>
        </w:rPr>
      </w:pPr>
      <w:r w:rsidRPr="00BD37D5">
        <w:rPr>
          <w:rFonts w:ascii="宋体" w:eastAsia="宋体" w:hAnsi="宋体" w:cs="宋体" w:hint="eastAsia"/>
          <w:b/>
          <w:kern w:val="0"/>
          <w:sz w:val="24"/>
          <w:szCs w:val="24"/>
          <w:lang w:val="zh-CN"/>
        </w:rPr>
        <w:t>法定代表人</w:t>
      </w:r>
      <w:r w:rsidRPr="00BD37D5">
        <w:rPr>
          <w:rFonts w:ascii="宋体" w:eastAsia="宋体" w:hAnsi="宋体" w:cs="宋体" w:hint="eastAsia"/>
          <w:b/>
          <w:kern w:val="0"/>
          <w:sz w:val="24"/>
          <w:szCs w:val="24"/>
        </w:rPr>
        <w:t>：</w:t>
      </w:r>
      <w:r w:rsidRPr="00BD37D5">
        <w:rPr>
          <w:rFonts w:ascii="仿宋" w:eastAsia="仿宋" w:hAnsi="仿宋"/>
          <w:kern w:val="0"/>
          <w:sz w:val="24"/>
          <w:szCs w:val="24"/>
        </w:rPr>
        <w:t xml:space="preserve"> </w:t>
      </w:r>
      <w:r w:rsidR="00EC4BA6" w:rsidRPr="00BB2D63">
        <w:rPr>
          <w:rFonts w:ascii="宋体" w:eastAsia="宋体" w:hAnsi="宋体" w:hint="eastAsia"/>
          <w:kern w:val="0"/>
          <w:sz w:val="28"/>
          <w:szCs w:val="28"/>
        </w:rPr>
        <w:t>李 忠</w:t>
      </w:r>
    </w:p>
    <w:p w:rsidR="006C26C5" w:rsidRDefault="006C26C5" w:rsidP="00BD37D5">
      <w:pPr>
        <w:spacing w:before="100" w:after="100" w:line="360" w:lineRule="auto"/>
        <w:jc w:val="right"/>
        <w:rPr>
          <w:rFonts w:ascii="宋体" w:eastAsia="宋体" w:hAnsi="宋体" w:cs="宋体"/>
          <w:szCs w:val="21"/>
        </w:rPr>
      </w:pPr>
    </w:p>
    <w:p w:rsidR="006C26C5" w:rsidRPr="00EC4BA6" w:rsidRDefault="006C26C5" w:rsidP="00BD37D5">
      <w:pPr>
        <w:spacing w:before="100" w:after="100" w:line="360" w:lineRule="auto"/>
        <w:jc w:val="right"/>
        <w:rPr>
          <w:rFonts w:ascii="宋体" w:eastAsia="宋体" w:hAnsi="宋体" w:cs="宋体"/>
          <w:szCs w:val="21"/>
        </w:rPr>
      </w:pPr>
    </w:p>
    <w:p w:rsidR="00BD37D5" w:rsidRPr="00BD37D5" w:rsidRDefault="00BD37D5" w:rsidP="00BD37D5">
      <w:pPr>
        <w:spacing w:before="100" w:after="100" w:line="360" w:lineRule="auto"/>
        <w:jc w:val="right"/>
        <w:rPr>
          <w:rFonts w:ascii="宋体" w:eastAsia="宋体" w:hAnsi="宋体" w:cs="宋体"/>
          <w:szCs w:val="21"/>
        </w:rPr>
      </w:pPr>
      <w:r w:rsidRPr="00BD37D5">
        <w:rPr>
          <w:rFonts w:ascii="宋体" w:eastAsia="宋体" w:hAnsi="宋体" w:cs="宋体" w:hint="eastAsia"/>
          <w:szCs w:val="21"/>
        </w:rPr>
        <w:t>广东甘化科工股份有限公司董事会</w:t>
      </w:r>
    </w:p>
    <w:p w:rsidR="00BD37D5" w:rsidRPr="009B16A1" w:rsidRDefault="00BD37D5" w:rsidP="009B16A1">
      <w:pPr>
        <w:spacing w:before="100" w:after="100" w:line="360" w:lineRule="auto"/>
        <w:ind w:right="420"/>
        <w:jc w:val="right"/>
        <w:rPr>
          <w:rFonts w:ascii="宋体" w:eastAsia="宋体" w:hAnsi="宋体" w:cs="宋体"/>
          <w:szCs w:val="21"/>
        </w:rPr>
      </w:pPr>
      <w:r w:rsidRPr="00BD37D5">
        <w:rPr>
          <w:rFonts w:ascii="宋体" w:eastAsia="宋体" w:hAnsi="宋体" w:cs="宋体" w:hint="eastAsia"/>
          <w:szCs w:val="21"/>
        </w:rPr>
        <w:t>二〇二</w:t>
      </w:r>
      <w:r w:rsidR="00B862AA">
        <w:rPr>
          <w:rFonts w:ascii="宋体" w:eastAsia="宋体" w:hAnsi="宋体" w:cs="宋体" w:hint="eastAsia"/>
          <w:szCs w:val="21"/>
        </w:rPr>
        <w:t>五</w:t>
      </w:r>
      <w:r w:rsidRPr="00BD37D5">
        <w:rPr>
          <w:rFonts w:ascii="宋体" w:eastAsia="宋体" w:hAnsi="宋体" w:cs="宋体" w:hint="eastAsia"/>
          <w:szCs w:val="21"/>
        </w:rPr>
        <w:t>年四月</w:t>
      </w:r>
      <w:r w:rsidR="00B862AA">
        <w:rPr>
          <w:rFonts w:ascii="宋体" w:eastAsia="宋体" w:hAnsi="宋体" w:cs="宋体" w:hint="eastAsia"/>
          <w:szCs w:val="21"/>
        </w:rPr>
        <w:t>十九</w:t>
      </w:r>
      <w:r w:rsidRPr="00BD37D5">
        <w:rPr>
          <w:rFonts w:ascii="宋体" w:eastAsia="宋体" w:hAnsi="宋体" w:cs="宋体" w:hint="eastAsia"/>
          <w:szCs w:val="21"/>
        </w:rPr>
        <w:t>日</w:t>
      </w:r>
    </w:p>
    <w:sectPr w:rsidR="00BD37D5" w:rsidRPr="009B16A1" w:rsidSect="00F85495">
      <w:headerReference w:type="default" r:id="rId9"/>
      <w:footerReference w:type="default" r:id="rId10"/>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905" w:rsidRDefault="00ED1905">
      <w:r>
        <w:separator/>
      </w:r>
    </w:p>
  </w:endnote>
  <w:endnote w:type="continuationSeparator" w:id="0">
    <w:p w:rsidR="00ED1905" w:rsidRDefault="00ED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55585"/>
      <w:docPartObj>
        <w:docPartGallery w:val="Page Numbers (Bottom of Page)"/>
        <w:docPartUnique/>
      </w:docPartObj>
    </w:sdtPr>
    <w:sdtEndPr/>
    <w:sdtContent>
      <w:p w:rsidR="006D4A14" w:rsidRDefault="006D4A14">
        <w:pPr>
          <w:pStyle w:val="a9"/>
          <w:jc w:val="center"/>
        </w:pPr>
        <w:r>
          <w:fldChar w:fldCharType="begin"/>
        </w:r>
        <w:r>
          <w:instrText>PAGE   \* MERGEFORMAT</w:instrText>
        </w:r>
        <w:r>
          <w:fldChar w:fldCharType="separate"/>
        </w:r>
        <w:r w:rsidR="00744A3C" w:rsidRPr="00744A3C">
          <w:rPr>
            <w:noProof/>
            <w:lang w:val="zh-CN"/>
          </w:rPr>
          <w:t>106</w:t>
        </w:r>
        <w:r>
          <w:fldChar w:fldCharType="end"/>
        </w:r>
      </w:p>
    </w:sdtContent>
  </w:sdt>
  <w:p w:rsidR="006D4A14" w:rsidRDefault="006D4A14">
    <w:pPr>
      <w:pStyle w:val="fot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905" w:rsidRDefault="00ED1905">
      <w:r>
        <w:separator/>
      </w:r>
    </w:p>
  </w:footnote>
  <w:footnote w:type="continuationSeparator" w:id="0">
    <w:p w:rsidR="00ED1905" w:rsidRDefault="00ED19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14" w:rsidRDefault="006D4A14">
    <w:pPr>
      <w:pStyle w:val="Header1"/>
      <w:pBdr>
        <w:bottom w:val="single" w:sz="6" w:space="1" w:color="auto"/>
      </w:pBdr>
    </w:pPr>
    <w:r>
      <w:t>广东甘化科工股份有限公司2024年度报告全文</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7CC9"/>
    <w:multiLevelType w:val="multilevel"/>
    <w:tmpl w:val="05C6C7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B84B3C"/>
    <w:multiLevelType w:val="multilevel"/>
    <w:tmpl w:val="222670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FCA6FBB"/>
    <w:multiLevelType w:val="multilevel"/>
    <w:tmpl w:val="3CDE7D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B955BD"/>
    <w:multiLevelType w:val="multilevel"/>
    <w:tmpl w:val="E6EE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91817"/>
    <w:multiLevelType w:val="multilevel"/>
    <w:tmpl w:val="BDC239E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7BD73F5"/>
    <w:multiLevelType w:val="multilevel"/>
    <w:tmpl w:val="B524BF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271523F"/>
    <w:multiLevelType w:val="multilevel"/>
    <w:tmpl w:val="EC9A7B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AFF7E4B"/>
    <w:multiLevelType w:val="multilevel"/>
    <w:tmpl w:val="C00AE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6CB2821"/>
    <w:multiLevelType w:val="multilevel"/>
    <w:tmpl w:val="6450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F636E"/>
    <w:multiLevelType w:val="multilevel"/>
    <w:tmpl w:val="5BDCA50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B8A2EF7"/>
    <w:multiLevelType w:val="multilevel"/>
    <w:tmpl w:val="F82EBB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75B45A6D"/>
    <w:multiLevelType w:val="multilevel"/>
    <w:tmpl w:val="BD66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3"/>
  </w:num>
  <w:num w:numId="4">
    <w:abstractNumId w:val="9"/>
  </w:num>
  <w:num w:numId="5">
    <w:abstractNumId w:val="0"/>
  </w:num>
  <w:num w:numId="6">
    <w:abstractNumId w:val="6"/>
  </w:num>
  <w:num w:numId="7">
    <w:abstractNumId w:val="2"/>
  </w:num>
  <w:num w:numId="8">
    <w:abstractNumId w:val="7"/>
  </w:num>
  <w:num w:numId="9">
    <w:abstractNumId w:val="4"/>
  </w:num>
  <w:num w:numId="10">
    <w:abstractNumId w:val="1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66"/>
    <w:rsid w:val="00000B3A"/>
    <w:rsid w:val="00003D92"/>
    <w:rsid w:val="00012253"/>
    <w:rsid w:val="00023F26"/>
    <w:rsid w:val="00025194"/>
    <w:rsid w:val="00027705"/>
    <w:rsid w:val="000308F9"/>
    <w:rsid w:val="0005172D"/>
    <w:rsid w:val="00052598"/>
    <w:rsid w:val="00063B3C"/>
    <w:rsid w:val="00072A20"/>
    <w:rsid w:val="00073F36"/>
    <w:rsid w:val="00086E7F"/>
    <w:rsid w:val="00090613"/>
    <w:rsid w:val="00095FD6"/>
    <w:rsid w:val="000A1D01"/>
    <w:rsid w:val="000A2E85"/>
    <w:rsid w:val="000A6F26"/>
    <w:rsid w:val="000B44B5"/>
    <w:rsid w:val="000C1FE6"/>
    <w:rsid w:val="000F0160"/>
    <w:rsid w:val="000F5E2D"/>
    <w:rsid w:val="00103AD1"/>
    <w:rsid w:val="00117A06"/>
    <w:rsid w:val="001315C0"/>
    <w:rsid w:val="001448B5"/>
    <w:rsid w:val="00155CAB"/>
    <w:rsid w:val="001571B5"/>
    <w:rsid w:val="00195967"/>
    <w:rsid w:val="001962CD"/>
    <w:rsid w:val="0019738E"/>
    <w:rsid w:val="00197834"/>
    <w:rsid w:val="00197A47"/>
    <w:rsid w:val="001A0240"/>
    <w:rsid w:val="001B20FE"/>
    <w:rsid w:val="001C199B"/>
    <w:rsid w:val="001C4C55"/>
    <w:rsid w:val="001C50A7"/>
    <w:rsid w:val="001E0FBB"/>
    <w:rsid w:val="001E45DA"/>
    <w:rsid w:val="001F1189"/>
    <w:rsid w:val="0020359A"/>
    <w:rsid w:val="00206303"/>
    <w:rsid w:val="00220410"/>
    <w:rsid w:val="00227308"/>
    <w:rsid w:val="00230DE3"/>
    <w:rsid w:val="00240AB0"/>
    <w:rsid w:val="00274F26"/>
    <w:rsid w:val="00277E5D"/>
    <w:rsid w:val="002862CD"/>
    <w:rsid w:val="00297B99"/>
    <w:rsid w:val="002A1D25"/>
    <w:rsid w:val="002C51EE"/>
    <w:rsid w:val="002D2D6B"/>
    <w:rsid w:val="002D4521"/>
    <w:rsid w:val="002E4C9E"/>
    <w:rsid w:val="002F637F"/>
    <w:rsid w:val="002F64EB"/>
    <w:rsid w:val="002F790F"/>
    <w:rsid w:val="003031AF"/>
    <w:rsid w:val="003136B3"/>
    <w:rsid w:val="00330361"/>
    <w:rsid w:val="0034575C"/>
    <w:rsid w:val="00360DD8"/>
    <w:rsid w:val="00361358"/>
    <w:rsid w:val="003618C7"/>
    <w:rsid w:val="003814D1"/>
    <w:rsid w:val="00382476"/>
    <w:rsid w:val="003A0D22"/>
    <w:rsid w:val="003A20E7"/>
    <w:rsid w:val="003A4BF9"/>
    <w:rsid w:val="003C2DA7"/>
    <w:rsid w:val="003F357E"/>
    <w:rsid w:val="00406A53"/>
    <w:rsid w:val="00426AD9"/>
    <w:rsid w:val="00444118"/>
    <w:rsid w:val="00444A70"/>
    <w:rsid w:val="00444CBD"/>
    <w:rsid w:val="00445CD1"/>
    <w:rsid w:val="00446C77"/>
    <w:rsid w:val="00453C0A"/>
    <w:rsid w:val="004659AB"/>
    <w:rsid w:val="0047158A"/>
    <w:rsid w:val="00471E3F"/>
    <w:rsid w:val="004802E3"/>
    <w:rsid w:val="00483DD8"/>
    <w:rsid w:val="00487F2B"/>
    <w:rsid w:val="004C3A5E"/>
    <w:rsid w:val="004C4D55"/>
    <w:rsid w:val="004D0E3C"/>
    <w:rsid w:val="004E0016"/>
    <w:rsid w:val="004E566F"/>
    <w:rsid w:val="004F0D64"/>
    <w:rsid w:val="004F7F62"/>
    <w:rsid w:val="00503DE7"/>
    <w:rsid w:val="00507353"/>
    <w:rsid w:val="00507617"/>
    <w:rsid w:val="005117FD"/>
    <w:rsid w:val="005208AC"/>
    <w:rsid w:val="00521B35"/>
    <w:rsid w:val="00521F10"/>
    <w:rsid w:val="00523B49"/>
    <w:rsid w:val="00527491"/>
    <w:rsid w:val="00543E13"/>
    <w:rsid w:val="00550BB1"/>
    <w:rsid w:val="005634AA"/>
    <w:rsid w:val="005640F5"/>
    <w:rsid w:val="0056507F"/>
    <w:rsid w:val="00575461"/>
    <w:rsid w:val="00580641"/>
    <w:rsid w:val="0059667D"/>
    <w:rsid w:val="005A600E"/>
    <w:rsid w:val="005B222A"/>
    <w:rsid w:val="005B3979"/>
    <w:rsid w:val="005C0929"/>
    <w:rsid w:val="005D63D5"/>
    <w:rsid w:val="005D7A53"/>
    <w:rsid w:val="005E1AA4"/>
    <w:rsid w:val="005E250D"/>
    <w:rsid w:val="005E7788"/>
    <w:rsid w:val="005F5C38"/>
    <w:rsid w:val="0060325C"/>
    <w:rsid w:val="00604867"/>
    <w:rsid w:val="006100F3"/>
    <w:rsid w:val="00623C55"/>
    <w:rsid w:val="00632E63"/>
    <w:rsid w:val="0063323C"/>
    <w:rsid w:val="00652238"/>
    <w:rsid w:val="006732A4"/>
    <w:rsid w:val="0068001F"/>
    <w:rsid w:val="0068328F"/>
    <w:rsid w:val="00684415"/>
    <w:rsid w:val="0069458D"/>
    <w:rsid w:val="006C26C5"/>
    <w:rsid w:val="006C626B"/>
    <w:rsid w:val="006C73A7"/>
    <w:rsid w:val="006D048C"/>
    <w:rsid w:val="006D05D8"/>
    <w:rsid w:val="006D4A14"/>
    <w:rsid w:val="006F2213"/>
    <w:rsid w:val="0071583E"/>
    <w:rsid w:val="007227D6"/>
    <w:rsid w:val="00733C1C"/>
    <w:rsid w:val="00735F19"/>
    <w:rsid w:val="00737947"/>
    <w:rsid w:val="00744A3C"/>
    <w:rsid w:val="00745844"/>
    <w:rsid w:val="00752B38"/>
    <w:rsid w:val="007768E2"/>
    <w:rsid w:val="007962EB"/>
    <w:rsid w:val="007A4CB7"/>
    <w:rsid w:val="007A6118"/>
    <w:rsid w:val="007A7E7C"/>
    <w:rsid w:val="007B1120"/>
    <w:rsid w:val="007E203F"/>
    <w:rsid w:val="007E522F"/>
    <w:rsid w:val="007F1247"/>
    <w:rsid w:val="007F3614"/>
    <w:rsid w:val="007F40CB"/>
    <w:rsid w:val="00805047"/>
    <w:rsid w:val="00821F29"/>
    <w:rsid w:val="00827FE8"/>
    <w:rsid w:val="00831BA6"/>
    <w:rsid w:val="00841790"/>
    <w:rsid w:val="00841FE0"/>
    <w:rsid w:val="00842F99"/>
    <w:rsid w:val="00846923"/>
    <w:rsid w:val="00860FBB"/>
    <w:rsid w:val="00865DD9"/>
    <w:rsid w:val="008735C3"/>
    <w:rsid w:val="00873970"/>
    <w:rsid w:val="00881D1A"/>
    <w:rsid w:val="00883B9E"/>
    <w:rsid w:val="008861D7"/>
    <w:rsid w:val="00892FDB"/>
    <w:rsid w:val="008948EB"/>
    <w:rsid w:val="008A09F7"/>
    <w:rsid w:val="008A2D06"/>
    <w:rsid w:val="008A3833"/>
    <w:rsid w:val="008B5490"/>
    <w:rsid w:val="008C0FEA"/>
    <w:rsid w:val="008F7148"/>
    <w:rsid w:val="00900CB8"/>
    <w:rsid w:val="00915C69"/>
    <w:rsid w:val="009173E5"/>
    <w:rsid w:val="00917E1A"/>
    <w:rsid w:val="00921569"/>
    <w:rsid w:val="0094357B"/>
    <w:rsid w:val="0095243E"/>
    <w:rsid w:val="00953733"/>
    <w:rsid w:val="0095463F"/>
    <w:rsid w:val="0096121B"/>
    <w:rsid w:val="009613D2"/>
    <w:rsid w:val="009620BE"/>
    <w:rsid w:val="009661FE"/>
    <w:rsid w:val="00966A6C"/>
    <w:rsid w:val="00966FE2"/>
    <w:rsid w:val="00972CFC"/>
    <w:rsid w:val="009910CC"/>
    <w:rsid w:val="00995720"/>
    <w:rsid w:val="00996C01"/>
    <w:rsid w:val="009B16A1"/>
    <w:rsid w:val="009B1ED8"/>
    <w:rsid w:val="009C2DA0"/>
    <w:rsid w:val="009C684B"/>
    <w:rsid w:val="009E05D5"/>
    <w:rsid w:val="009E5E2F"/>
    <w:rsid w:val="00A02A1C"/>
    <w:rsid w:val="00A1473E"/>
    <w:rsid w:val="00A2119D"/>
    <w:rsid w:val="00A2208E"/>
    <w:rsid w:val="00A27D66"/>
    <w:rsid w:val="00A33947"/>
    <w:rsid w:val="00A3576E"/>
    <w:rsid w:val="00A47413"/>
    <w:rsid w:val="00A47D08"/>
    <w:rsid w:val="00A502CC"/>
    <w:rsid w:val="00A61F2B"/>
    <w:rsid w:val="00A73E55"/>
    <w:rsid w:val="00A73E67"/>
    <w:rsid w:val="00A76262"/>
    <w:rsid w:val="00A76C55"/>
    <w:rsid w:val="00A82614"/>
    <w:rsid w:val="00A826CA"/>
    <w:rsid w:val="00A94BE5"/>
    <w:rsid w:val="00AA7649"/>
    <w:rsid w:val="00AC275A"/>
    <w:rsid w:val="00AC535E"/>
    <w:rsid w:val="00AD6768"/>
    <w:rsid w:val="00AE1616"/>
    <w:rsid w:val="00AE6F99"/>
    <w:rsid w:val="00AF3ED5"/>
    <w:rsid w:val="00B402BB"/>
    <w:rsid w:val="00B43ED8"/>
    <w:rsid w:val="00B46D08"/>
    <w:rsid w:val="00B566C5"/>
    <w:rsid w:val="00B862AA"/>
    <w:rsid w:val="00B93F0B"/>
    <w:rsid w:val="00BB160B"/>
    <w:rsid w:val="00BB2D63"/>
    <w:rsid w:val="00BB730B"/>
    <w:rsid w:val="00BD37D5"/>
    <w:rsid w:val="00BD5676"/>
    <w:rsid w:val="00BE4993"/>
    <w:rsid w:val="00BE7442"/>
    <w:rsid w:val="00BF0FA2"/>
    <w:rsid w:val="00BF3B87"/>
    <w:rsid w:val="00C20B7B"/>
    <w:rsid w:val="00C21327"/>
    <w:rsid w:val="00C2376D"/>
    <w:rsid w:val="00C369D4"/>
    <w:rsid w:val="00C47992"/>
    <w:rsid w:val="00C50A0F"/>
    <w:rsid w:val="00C67C37"/>
    <w:rsid w:val="00C85DA6"/>
    <w:rsid w:val="00C916D1"/>
    <w:rsid w:val="00C91B65"/>
    <w:rsid w:val="00CA2F0A"/>
    <w:rsid w:val="00CA56D9"/>
    <w:rsid w:val="00CB5CA2"/>
    <w:rsid w:val="00CD3739"/>
    <w:rsid w:val="00CE1E42"/>
    <w:rsid w:val="00CE6C6C"/>
    <w:rsid w:val="00CF18B7"/>
    <w:rsid w:val="00D00213"/>
    <w:rsid w:val="00D02D91"/>
    <w:rsid w:val="00D0583B"/>
    <w:rsid w:val="00D12C1E"/>
    <w:rsid w:val="00D2096A"/>
    <w:rsid w:val="00D20A0A"/>
    <w:rsid w:val="00D31C3E"/>
    <w:rsid w:val="00D323D0"/>
    <w:rsid w:val="00D46CE0"/>
    <w:rsid w:val="00D542E0"/>
    <w:rsid w:val="00D55DCF"/>
    <w:rsid w:val="00D81328"/>
    <w:rsid w:val="00D814A1"/>
    <w:rsid w:val="00D91564"/>
    <w:rsid w:val="00DB6648"/>
    <w:rsid w:val="00DB6B2A"/>
    <w:rsid w:val="00DC12AD"/>
    <w:rsid w:val="00DC4DD2"/>
    <w:rsid w:val="00DC578A"/>
    <w:rsid w:val="00DE6159"/>
    <w:rsid w:val="00DF3C69"/>
    <w:rsid w:val="00E01A9E"/>
    <w:rsid w:val="00E0661D"/>
    <w:rsid w:val="00E1497B"/>
    <w:rsid w:val="00E14A9E"/>
    <w:rsid w:val="00E15F6A"/>
    <w:rsid w:val="00E2634D"/>
    <w:rsid w:val="00E3377E"/>
    <w:rsid w:val="00E33DD1"/>
    <w:rsid w:val="00E40E23"/>
    <w:rsid w:val="00E4322E"/>
    <w:rsid w:val="00E503CD"/>
    <w:rsid w:val="00E63B79"/>
    <w:rsid w:val="00E65872"/>
    <w:rsid w:val="00E71E53"/>
    <w:rsid w:val="00E91C1D"/>
    <w:rsid w:val="00E95BA7"/>
    <w:rsid w:val="00E96C9C"/>
    <w:rsid w:val="00EC4A64"/>
    <w:rsid w:val="00EC4BA6"/>
    <w:rsid w:val="00EC50F0"/>
    <w:rsid w:val="00ED1905"/>
    <w:rsid w:val="00EE48A8"/>
    <w:rsid w:val="00EE7881"/>
    <w:rsid w:val="00F0555B"/>
    <w:rsid w:val="00F06395"/>
    <w:rsid w:val="00F21CDA"/>
    <w:rsid w:val="00F336F0"/>
    <w:rsid w:val="00F358C4"/>
    <w:rsid w:val="00F450FE"/>
    <w:rsid w:val="00F506EF"/>
    <w:rsid w:val="00F52401"/>
    <w:rsid w:val="00F5327F"/>
    <w:rsid w:val="00F60272"/>
    <w:rsid w:val="00F66A83"/>
    <w:rsid w:val="00F72A3A"/>
    <w:rsid w:val="00F85495"/>
    <w:rsid w:val="00FB6B2B"/>
    <w:rsid w:val="00FC0A5B"/>
    <w:rsid w:val="00FC311D"/>
    <w:rsid w:val="00FD7929"/>
    <w:rsid w:val="00FE72AB"/>
    <w:rsid w:val="00FF06AA"/>
    <w:rsid w:val="00FF1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B89EA"/>
  <w15:docId w15:val="{A2D5B04E-AA26-40B1-8620-0C1357BA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link w:val="20"/>
    <w:uiPriority w:val="9"/>
    <w:unhideWhenUsed/>
    <w:qFormat/>
    <w:pPr>
      <w:keepNext/>
      <w:keepLines/>
      <w:spacing w:before="156" w:after="156"/>
      <w:outlineLvl w:val="1"/>
    </w:pPr>
    <w:rPr>
      <w:szCs w:val="21"/>
    </w:rPr>
  </w:style>
  <w:style w:type="paragraph" w:styleId="3">
    <w:name w:val="heading 3"/>
    <w:basedOn w:val="a"/>
    <w:next w:val="a"/>
    <w:link w:val="30"/>
    <w:uiPriority w:val="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45844"/>
    <w:rPr>
      <w:szCs w:val="21"/>
    </w:rPr>
  </w:style>
  <w:style w:type="character" w:customStyle="1" w:styleId="30">
    <w:name w:val="标题 3 字符"/>
    <w:basedOn w:val="a0"/>
    <w:link w:val="3"/>
    <w:uiPriority w:val="9"/>
    <w:rPr>
      <w:rFonts w:eastAsia="宋体"/>
      <w:szCs w:val="21"/>
    </w:rPr>
  </w:style>
  <w:style w:type="paragraph" w:customStyle="1" w:styleId="Header1">
    <w:name w:val="Header 1"/>
    <w:uiPriority w:val="99"/>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uiPriority w:val="99"/>
    <w:pPr>
      <w:jc w:val="right"/>
    </w:pPr>
    <w:rPr>
      <w:rFonts w:ascii="宋体" w:eastAsia="宋体"/>
      <w:sz w:val="18"/>
      <w:szCs w:val="18"/>
    </w:rPr>
  </w:style>
  <w:style w:type="paragraph" w:styleId="1">
    <w:name w:val="toc 1"/>
    <w:basedOn w:val="a"/>
    <w:next w:val="a"/>
    <w:autoRedefine/>
    <w:uiPriority w:val="39"/>
    <w:rsid w:val="00277E5D"/>
    <w:pPr>
      <w:tabs>
        <w:tab w:val="left" w:leader="dot" w:pos="9072"/>
      </w:tabs>
      <w:spacing w:line="360" w:lineRule="auto"/>
    </w:pPr>
  </w:style>
  <w:style w:type="paragraph" w:styleId="21">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Hyperlink"/>
    <w:basedOn w:val="a0"/>
    <w:uiPriority w:val="99"/>
    <w:unhideWhenUsed/>
    <w:rPr>
      <w:color w:val="0000FF"/>
      <w:u w:val="single"/>
    </w:rPr>
  </w:style>
  <w:style w:type="character" w:styleId="a6">
    <w:name w:val="Emphasis"/>
    <w:basedOn w:val="a0"/>
    <w:uiPriority w:val="20"/>
    <w:qFormat/>
    <w:rPr>
      <w:i/>
      <w:iCs/>
    </w:rPr>
  </w:style>
  <w:style w:type="paragraph" w:styleId="a7">
    <w:name w:val="header"/>
    <w:basedOn w:val="a"/>
    <w:link w:val="a8"/>
    <w:uiPriority w:val="99"/>
    <w:unhideWhenUsed/>
    <w:rsid w:val="00E0661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0661D"/>
    <w:rPr>
      <w:sz w:val="18"/>
      <w:szCs w:val="18"/>
    </w:rPr>
  </w:style>
  <w:style w:type="paragraph" w:styleId="a9">
    <w:name w:val="footer"/>
    <w:basedOn w:val="a"/>
    <w:link w:val="aa"/>
    <w:uiPriority w:val="99"/>
    <w:unhideWhenUsed/>
    <w:rsid w:val="00E0661D"/>
    <w:pPr>
      <w:tabs>
        <w:tab w:val="center" w:pos="4153"/>
        <w:tab w:val="right" w:pos="8306"/>
      </w:tabs>
      <w:snapToGrid w:val="0"/>
    </w:pPr>
    <w:rPr>
      <w:sz w:val="18"/>
      <w:szCs w:val="18"/>
    </w:rPr>
  </w:style>
  <w:style w:type="character" w:customStyle="1" w:styleId="aa">
    <w:name w:val="页脚 字符"/>
    <w:basedOn w:val="a0"/>
    <w:link w:val="a9"/>
    <w:uiPriority w:val="99"/>
    <w:rsid w:val="00E0661D"/>
    <w:rPr>
      <w:sz w:val="18"/>
      <w:szCs w:val="18"/>
    </w:rPr>
  </w:style>
  <w:style w:type="paragraph" w:styleId="ab">
    <w:name w:val="Balloon Text"/>
    <w:basedOn w:val="a"/>
    <w:link w:val="ac"/>
    <w:uiPriority w:val="99"/>
    <w:semiHidden/>
    <w:unhideWhenUsed/>
    <w:rsid w:val="001448B5"/>
    <w:rPr>
      <w:sz w:val="18"/>
      <w:szCs w:val="18"/>
    </w:rPr>
  </w:style>
  <w:style w:type="character" w:customStyle="1" w:styleId="ac">
    <w:name w:val="批注框文本 字符"/>
    <w:basedOn w:val="a0"/>
    <w:link w:val="ab"/>
    <w:uiPriority w:val="99"/>
    <w:semiHidden/>
    <w:rsid w:val="001448B5"/>
    <w:rPr>
      <w:sz w:val="18"/>
      <w:szCs w:val="18"/>
    </w:rPr>
  </w:style>
  <w:style w:type="table" w:styleId="ad">
    <w:name w:val="Table Theme"/>
    <w:basedOn w:val="a1"/>
    <w:autoRedefine/>
    <w:unhideWhenUsed/>
    <w:qFormat/>
    <w:rsid w:val="0095373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971">
      <w:bodyDiv w:val="1"/>
      <w:marLeft w:val="0"/>
      <w:marRight w:val="0"/>
      <w:marTop w:val="0"/>
      <w:marBottom w:val="0"/>
      <w:divBdr>
        <w:top w:val="none" w:sz="0" w:space="0" w:color="auto"/>
        <w:left w:val="none" w:sz="0" w:space="0" w:color="auto"/>
        <w:bottom w:val="none" w:sz="0" w:space="0" w:color="auto"/>
        <w:right w:val="none" w:sz="0" w:space="0" w:color="auto"/>
      </w:divBdr>
    </w:div>
    <w:div w:id="18626773">
      <w:bodyDiv w:val="1"/>
      <w:marLeft w:val="0"/>
      <w:marRight w:val="0"/>
      <w:marTop w:val="0"/>
      <w:marBottom w:val="0"/>
      <w:divBdr>
        <w:top w:val="none" w:sz="0" w:space="0" w:color="auto"/>
        <w:left w:val="none" w:sz="0" w:space="0" w:color="auto"/>
        <w:bottom w:val="none" w:sz="0" w:space="0" w:color="auto"/>
        <w:right w:val="none" w:sz="0" w:space="0" w:color="auto"/>
      </w:divBdr>
    </w:div>
    <w:div w:id="28145549">
      <w:bodyDiv w:val="1"/>
      <w:marLeft w:val="0"/>
      <w:marRight w:val="0"/>
      <w:marTop w:val="0"/>
      <w:marBottom w:val="0"/>
      <w:divBdr>
        <w:top w:val="none" w:sz="0" w:space="0" w:color="auto"/>
        <w:left w:val="none" w:sz="0" w:space="0" w:color="auto"/>
        <w:bottom w:val="none" w:sz="0" w:space="0" w:color="auto"/>
        <w:right w:val="none" w:sz="0" w:space="0" w:color="auto"/>
      </w:divBdr>
    </w:div>
    <w:div w:id="34039943">
      <w:bodyDiv w:val="1"/>
      <w:marLeft w:val="0"/>
      <w:marRight w:val="0"/>
      <w:marTop w:val="0"/>
      <w:marBottom w:val="0"/>
      <w:divBdr>
        <w:top w:val="none" w:sz="0" w:space="0" w:color="auto"/>
        <w:left w:val="none" w:sz="0" w:space="0" w:color="auto"/>
        <w:bottom w:val="none" w:sz="0" w:space="0" w:color="auto"/>
        <w:right w:val="none" w:sz="0" w:space="0" w:color="auto"/>
      </w:divBdr>
    </w:div>
    <w:div w:id="54205127">
      <w:bodyDiv w:val="1"/>
      <w:marLeft w:val="0"/>
      <w:marRight w:val="0"/>
      <w:marTop w:val="0"/>
      <w:marBottom w:val="0"/>
      <w:divBdr>
        <w:top w:val="none" w:sz="0" w:space="0" w:color="auto"/>
        <w:left w:val="none" w:sz="0" w:space="0" w:color="auto"/>
        <w:bottom w:val="none" w:sz="0" w:space="0" w:color="auto"/>
        <w:right w:val="none" w:sz="0" w:space="0" w:color="auto"/>
      </w:divBdr>
    </w:div>
    <w:div w:id="70322511">
      <w:bodyDiv w:val="1"/>
      <w:marLeft w:val="0"/>
      <w:marRight w:val="0"/>
      <w:marTop w:val="0"/>
      <w:marBottom w:val="0"/>
      <w:divBdr>
        <w:top w:val="none" w:sz="0" w:space="0" w:color="auto"/>
        <w:left w:val="none" w:sz="0" w:space="0" w:color="auto"/>
        <w:bottom w:val="none" w:sz="0" w:space="0" w:color="auto"/>
        <w:right w:val="none" w:sz="0" w:space="0" w:color="auto"/>
      </w:divBdr>
    </w:div>
    <w:div w:id="89006626">
      <w:bodyDiv w:val="1"/>
      <w:marLeft w:val="0"/>
      <w:marRight w:val="0"/>
      <w:marTop w:val="0"/>
      <w:marBottom w:val="0"/>
      <w:divBdr>
        <w:top w:val="none" w:sz="0" w:space="0" w:color="auto"/>
        <w:left w:val="none" w:sz="0" w:space="0" w:color="auto"/>
        <w:bottom w:val="none" w:sz="0" w:space="0" w:color="auto"/>
        <w:right w:val="none" w:sz="0" w:space="0" w:color="auto"/>
      </w:divBdr>
    </w:div>
    <w:div w:id="97719061">
      <w:bodyDiv w:val="1"/>
      <w:marLeft w:val="0"/>
      <w:marRight w:val="0"/>
      <w:marTop w:val="0"/>
      <w:marBottom w:val="0"/>
      <w:divBdr>
        <w:top w:val="none" w:sz="0" w:space="0" w:color="auto"/>
        <w:left w:val="none" w:sz="0" w:space="0" w:color="auto"/>
        <w:bottom w:val="none" w:sz="0" w:space="0" w:color="auto"/>
        <w:right w:val="none" w:sz="0" w:space="0" w:color="auto"/>
      </w:divBdr>
    </w:div>
    <w:div w:id="102042141">
      <w:bodyDiv w:val="1"/>
      <w:marLeft w:val="0"/>
      <w:marRight w:val="0"/>
      <w:marTop w:val="0"/>
      <w:marBottom w:val="0"/>
      <w:divBdr>
        <w:top w:val="none" w:sz="0" w:space="0" w:color="auto"/>
        <w:left w:val="none" w:sz="0" w:space="0" w:color="auto"/>
        <w:bottom w:val="none" w:sz="0" w:space="0" w:color="auto"/>
        <w:right w:val="none" w:sz="0" w:space="0" w:color="auto"/>
      </w:divBdr>
    </w:div>
    <w:div w:id="118307677">
      <w:bodyDiv w:val="1"/>
      <w:marLeft w:val="0"/>
      <w:marRight w:val="0"/>
      <w:marTop w:val="0"/>
      <w:marBottom w:val="0"/>
      <w:divBdr>
        <w:top w:val="none" w:sz="0" w:space="0" w:color="auto"/>
        <w:left w:val="none" w:sz="0" w:space="0" w:color="auto"/>
        <w:bottom w:val="none" w:sz="0" w:space="0" w:color="auto"/>
        <w:right w:val="none" w:sz="0" w:space="0" w:color="auto"/>
      </w:divBdr>
    </w:div>
    <w:div w:id="143088546">
      <w:bodyDiv w:val="1"/>
      <w:marLeft w:val="0"/>
      <w:marRight w:val="0"/>
      <w:marTop w:val="0"/>
      <w:marBottom w:val="0"/>
      <w:divBdr>
        <w:top w:val="none" w:sz="0" w:space="0" w:color="auto"/>
        <w:left w:val="none" w:sz="0" w:space="0" w:color="auto"/>
        <w:bottom w:val="none" w:sz="0" w:space="0" w:color="auto"/>
        <w:right w:val="none" w:sz="0" w:space="0" w:color="auto"/>
      </w:divBdr>
    </w:div>
    <w:div w:id="151333638">
      <w:bodyDiv w:val="1"/>
      <w:marLeft w:val="0"/>
      <w:marRight w:val="0"/>
      <w:marTop w:val="0"/>
      <w:marBottom w:val="0"/>
      <w:divBdr>
        <w:top w:val="none" w:sz="0" w:space="0" w:color="auto"/>
        <w:left w:val="none" w:sz="0" w:space="0" w:color="auto"/>
        <w:bottom w:val="none" w:sz="0" w:space="0" w:color="auto"/>
        <w:right w:val="none" w:sz="0" w:space="0" w:color="auto"/>
      </w:divBdr>
    </w:div>
    <w:div w:id="156111800">
      <w:bodyDiv w:val="1"/>
      <w:marLeft w:val="0"/>
      <w:marRight w:val="0"/>
      <w:marTop w:val="0"/>
      <w:marBottom w:val="0"/>
      <w:divBdr>
        <w:top w:val="none" w:sz="0" w:space="0" w:color="auto"/>
        <w:left w:val="none" w:sz="0" w:space="0" w:color="auto"/>
        <w:bottom w:val="none" w:sz="0" w:space="0" w:color="auto"/>
        <w:right w:val="none" w:sz="0" w:space="0" w:color="auto"/>
      </w:divBdr>
    </w:div>
    <w:div w:id="157039068">
      <w:bodyDiv w:val="1"/>
      <w:marLeft w:val="0"/>
      <w:marRight w:val="0"/>
      <w:marTop w:val="0"/>
      <w:marBottom w:val="0"/>
      <w:divBdr>
        <w:top w:val="none" w:sz="0" w:space="0" w:color="auto"/>
        <w:left w:val="none" w:sz="0" w:space="0" w:color="auto"/>
        <w:bottom w:val="none" w:sz="0" w:space="0" w:color="auto"/>
        <w:right w:val="none" w:sz="0" w:space="0" w:color="auto"/>
      </w:divBdr>
    </w:div>
    <w:div w:id="179318408">
      <w:bodyDiv w:val="1"/>
      <w:marLeft w:val="0"/>
      <w:marRight w:val="0"/>
      <w:marTop w:val="0"/>
      <w:marBottom w:val="0"/>
      <w:divBdr>
        <w:top w:val="none" w:sz="0" w:space="0" w:color="auto"/>
        <w:left w:val="none" w:sz="0" w:space="0" w:color="auto"/>
        <w:bottom w:val="none" w:sz="0" w:space="0" w:color="auto"/>
        <w:right w:val="none" w:sz="0" w:space="0" w:color="auto"/>
      </w:divBdr>
    </w:div>
    <w:div w:id="185599628">
      <w:bodyDiv w:val="1"/>
      <w:marLeft w:val="0"/>
      <w:marRight w:val="0"/>
      <w:marTop w:val="0"/>
      <w:marBottom w:val="0"/>
      <w:divBdr>
        <w:top w:val="none" w:sz="0" w:space="0" w:color="auto"/>
        <w:left w:val="none" w:sz="0" w:space="0" w:color="auto"/>
        <w:bottom w:val="none" w:sz="0" w:space="0" w:color="auto"/>
        <w:right w:val="none" w:sz="0" w:space="0" w:color="auto"/>
      </w:divBdr>
    </w:div>
    <w:div w:id="187841018">
      <w:bodyDiv w:val="1"/>
      <w:marLeft w:val="0"/>
      <w:marRight w:val="0"/>
      <w:marTop w:val="0"/>
      <w:marBottom w:val="0"/>
      <w:divBdr>
        <w:top w:val="none" w:sz="0" w:space="0" w:color="auto"/>
        <w:left w:val="none" w:sz="0" w:space="0" w:color="auto"/>
        <w:bottom w:val="none" w:sz="0" w:space="0" w:color="auto"/>
        <w:right w:val="none" w:sz="0" w:space="0" w:color="auto"/>
      </w:divBdr>
    </w:div>
    <w:div w:id="190149388">
      <w:bodyDiv w:val="1"/>
      <w:marLeft w:val="0"/>
      <w:marRight w:val="0"/>
      <w:marTop w:val="0"/>
      <w:marBottom w:val="0"/>
      <w:divBdr>
        <w:top w:val="none" w:sz="0" w:space="0" w:color="auto"/>
        <w:left w:val="none" w:sz="0" w:space="0" w:color="auto"/>
        <w:bottom w:val="none" w:sz="0" w:space="0" w:color="auto"/>
        <w:right w:val="none" w:sz="0" w:space="0" w:color="auto"/>
      </w:divBdr>
    </w:div>
    <w:div w:id="247347633">
      <w:bodyDiv w:val="1"/>
      <w:marLeft w:val="0"/>
      <w:marRight w:val="0"/>
      <w:marTop w:val="0"/>
      <w:marBottom w:val="0"/>
      <w:divBdr>
        <w:top w:val="none" w:sz="0" w:space="0" w:color="auto"/>
        <w:left w:val="none" w:sz="0" w:space="0" w:color="auto"/>
        <w:bottom w:val="none" w:sz="0" w:space="0" w:color="auto"/>
        <w:right w:val="none" w:sz="0" w:space="0" w:color="auto"/>
      </w:divBdr>
    </w:div>
    <w:div w:id="247928215">
      <w:bodyDiv w:val="1"/>
      <w:marLeft w:val="0"/>
      <w:marRight w:val="0"/>
      <w:marTop w:val="0"/>
      <w:marBottom w:val="0"/>
      <w:divBdr>
        <w:top w:val="none" w:sz="0" w:space="0" w:color="auto"/>
        <w:left w:val="none" w:sz="0" w:space="0" w:color="auto"/>
        <w:bottom w:val="none" w:sz="0" w:space="0" w:color="auto"/>
        <w:right w:val="none" w:sz="0" w:space="0" w:color="auto"/>
      </w:divBdr>
    </w:div>
    <w:div w:id="254945375">
      <w:bodyDiv w:val="1"/>
      <w:marLeft w:val="0"/>
      <w:marRight w:val="0"/>
      <w:marTop w:val="0"/>
      <w:marBottom w:val="0"/>
      <w:divBdr>
        <w:top w:val="none" w:sz="0" w:space="0" w:color="auto"/>
        <w:left w:val="none" w:sz="0" w:space="0" w:color="auto"/>
        <w:bottom w:val="none" w:sz="0" w:space="0" w:color="auto"/>
        <w:right w:val="none" w:sz="0" w:space="0" w:color="auto"/>
      </w:divBdr>
    </w:div>
    <w:div w:id="285818513">
      <w:bodyDiv w:val="1"/>
      <w:marLeft w:val="0"/>
      <w:marRight w:val="0"/>
      <w:marTop w:val="0"/>
      <w:marBottom w:val="0"/>
      <w:divBdr>
        <w:top w:val="none" w:sz="0" w:space="0" w:color="auto"/>
        <w:left w:val="none" w:sz="0" w:space="0" w:color="auto"/>
        <w:bottom w:val="none" w:sz="0" w:space="0" w:color="auto"/>
        <w:right w:val="none" w:sz="0" w:space="0" w:color="auto"/>
      </w:divBdr>
    </w:div>
    <w:div w:id="289629278">
      <w:bodyDiv w:val="1"/>
      <w:marLeft w:val="0"/>
      <w:marRight w:val="0"/>
      <w:marTop w:val="0"/>
      <w:marBottom w:val="0"/>
      <w:divBdr>
        <w:top w:val="none" w:sz="0" w:space="0" w:color="auto"/>
        <w:left w:val="none" w:sz="0" w:space="0" w:color="auto"/>
        <w:bottom w:val="none" w:sz="0" w:space="0" w:color="auto"/>
        <w:right w:val="none" w:sz="0" w:space="0" w:color="auto"/>
      </w:divBdr>
    </w:div>
    <w:div w:id="289676092">
      <w:bodyDiv w:val="1"/>
      <w:marLeft w:val="0"/>
      <w:marRight w:val="0"/>
      <w:marTop w:val="0"/>
      <w:marBottom w:val="0"/>
      <w:divBdr>
        <w:top w:val="none" w:sz="0" w:space="0" w:color="auto"/>
        <w:left w:val="none" w:sz="0" w:space="0" w:color="auto"/>
        <w:bottom w:val="none" w:sz="0" w:space="0" w:color="auto"/>
        <w:right w:val="none" w:sz="0" w:space="0" w:color="auto"/>
      </w:divBdr>
    </w:div>
    <w:div w:id="296688645">
      <w:bodyDiv w:val="1"/>
      <w:marLeft w:val="0"/>
      <w:marRight w:val="0"/>
      <w:marTop w:val="0"/>
      <w:marBottom w:val="0"/>
      <w:divBdr>
        <w:top w:val="none" w:sz="0" w:space="0" w:color="auto"/>
        <w:left w:val="none" w:sz="0" w:space="0" w:color="auto"/>
        <w:bottom w:val="none" w:sz="0" w:space="0" w:color="auto"/>
        <w:right w:val="none" w:sz="0" w:space="0" w:color="auto"/>
      </w:divBdr>
    </w:div>
    <w:div w:id="328559143">
      <w:bodyDiv w:val="1"/>
      <w:marLeft w:val="0"/>
      <w:marRight w:val="0"/>
      <w:marTop w:val="0"/>
      <w:marBottom w:val="0"/>
      <w:divBdr>
        <w:top w:val="none" w:sz="0" w:space="0" w:color="auto"/>
        <w:left w:val="none" w:sz="0" w:space="0" w:color="auto"/>
        <w:bottom w:val="none" w:sz="0" w:space="0" w:color="auto"/>
        <w:right w:val="none" w:sz="0" w:space="0" w:color="auto"/>
      </w:divBdr>
    </w:div>
    <w:div w:id="332102660">
      <w:bodyDiv w:val="1"/>
      <w:marLeft w:val="0"/>
      <w:marRight w:val="0"/>
      <w:marTop w:val="0"/>
      <w:marBottom w:val="0"/>
      <w:divBdr>
        <w:top w:val="none" w:sz="0" w:space="0" w:color="auto"/>
        <w:left w:val="none" w:sz="0" w:space="0" w:color="auto"/>
        <w:bottom w:val="none" w:sz="0" w:space="0" w:color="auto"/>
        <w:right w:val="none" w:sz="0" w:space="0" w:color="auto"/>
      </w:divBdr>
    </w:div>
    <w:div w:id="361245898">
      <w:bodyDiv w:val="1"/>
      <w:marLeft w:val="0"/>
      <w:marRight w:val="0"/>
      <w:marTop w:val="0"/>
      <w:marBottom w:val="0"/>
      <w:divBdr>
        <w:top w:val="none" w:sz="0" w:space="0" w:color="auto"/>
        <w:left w:val="none" w:sz="0" w:space="0" w:color="auto"/>
        <w:bottom w:val="none" w:sz="0" w:space="0" w:color="auto"/>
        <w:right w:val="none" w:sz="0" w:space="0" w:color="auto"/>
      </w:divBdr>
    </w:div>
    <w:div w:id="365566635">
      <w:bodyDiv w:val="1"/>
      <w:marLeft w:val="0"/>
      <w:marRight w:val="0"/>
      <w:marTop w:val="0"/>
      <w:marBottom w:val="0"/>
      <w:divBdr>
        <w:top w:val="none" w:sz="0" w:space="0" w:color="auto"/>
        <w:left w:val="none" w:sz="0" w:space="0" w:color="auto"/>
        <w:bottom w:val="none" w:sz="0" w:space="0" w:color="auto"/>
        <w:right w:val="none" w:sz="0" w:space="0" w:color="auto"/>
      </w:divBdr>
    </w:div>
    <w:div w:id="374237153">
      <w:bodyDiv w:val="1"/>
      <w:marLeft w:val="0"/>
      <w:marRight w:val="0"/>
      <w:marTop w:val="0"/>
      <w:marBottom w:val="0"/>
      <w:divBdr>
        <w:top w:val="none" w:sz="0" w:space="0" w:color="auto"/>
        <w:left w:val="none" w:sz="0" w:space="0" w:color="auto"/>
        <w:bottom w:val="none" w:sz="0" w:space="0" w:color="auto"/>
        <w:right w:val="none" w:sz="0" w:space="0" w:color="auto"/>
      </w:divBdr>
    </w:div>
    <w:div w:id="391654853">
      <w:bodyDiv w:val="1"/>
      <w:marLeft w:val="0"/>
      <w:marRight w:val="0"/>
      <w:marTop w:val="0"/>
      <w:marBottom w:val="0"/>
      <w:divBdr>
        <w:top w:val="none" w:sz="0" w:space="0" w:color="auto"/>
        <w:left w:val="none" w:sz="0" w:space="0" w:color="auto"/>
        <w:bottom w:val="none" w:sz="0" w:space="0" w:color="auto"/>
        <w:right w:val="none" w:sz="0" w:space="0" w:color="auto"/>
      </w:divBdr>
    </w:div>
    <w:div w:id="414013235">
      <w:bodyDiv w:val="1"/>
      <w:marLeft w:val="0"/>
      <w:marRight w:val="0"/>
      <w:marTop w:val="0"/>
      <w:marBottom w:val="0"/>
      <w:divBdr>
        <w:top w:val="none" w:sz="0" w:space="0" w:color="auto"/>
        <w:left w:val="none" w:sz="0" w:space="0" w:color="auto"/>
        <w:bottom w:val="none" w:sz="0" w:space="0" w:color="auto"/>
        <w:right w:val="none" w:sz="0" w:space="0" w:color="auto"/>
      </w:divBdr>
    </w:div>
    <w:div w:id="440106288">
      <w:bodyDiv w:val="1"/>
      <w:marLeft w:val="0"/>
      <w:marRight w:val="0"/>
      <w:marTop w:val="0"/>
      <w:marBottom w:val="0"/>
      <w:divBdr>
        <w:top w:val="none" w:sz="0" w:space="0" w:color="auto"/>
        <w:left w:val="none" w:sz="0" w:space="0" w:color="auto"/>
        <w:bottom w:val="none" w:sz="0" w:space="0" w:color="auto"/>
        <w:right w:val="none" w:sz="0" w:space="0" w:color="auto"/>
      </w:divBdr>
    </w:div>
    <w:div w:id="452484098">
      <w:bodyDiv w:val="1"/>
      <w:marLeft w:val="0"/>
      <w:marRight w:val="0"/>
      <w:marTop w:val="0"/>
      <w:marBottom w:val="0"/>
      <w:divBdr>
        <w:top w:val="none" w:sz="0" w:space="0" w:color="auto"/>
        <w:left w:val="none" w:sz="0" w:space="0" w:color="auto"/>
        <w:bottom w:val="none" w:sz="0" w:space="0" w:color="auto"/>
        <w:right w:val="none" w:sz="0" w:space="0" w:color="auto"/>
      </w:divBdr>
    </w:div>
    <w:div w:id="452795505">
      <w:bodyDiv w:val="1"/>
      <w:marLeft w:val="0"/>
      <w:marRight w:val="0"/>
      <w:marTop w:val="0"/>
      <w:marBottom w:val="0"/>
      <w:divBdr>
        <w:top w:val="none" w:sz="0" w:space="0" w:color="auto"/>
        <w:left w:val="none" w:sz="0" w:space="0" w:color="auto"/>
        <w:bottom w:val="none" w:sz="0" w:space="0" w:color="auto"/>
        <w:right w:val="none" w:sz="0" w:space="0" w:color="auto"/>
      </w:divBdr>
    </w:div>
    <w:div w:id="457533785">
      <w:bodyDiv w:val="1"/>
      <w:marLeft w:val="0"/>
      <w:marRight w:val="0"/>
      <w:marTop w:val="0"/>
      <w:marBottom w:val="0"/>
      <w:divBdr>
        <w:top w:val="none" w:sz="0" w:space="0" w:color="auto"/>
        <w:left w:val="none" w:sz="0" w:space="0" w:color="auto"/>
        <w:bottom w:val="none" w:sz="0" w:space="0" w:color="auto"/>
        <w:right w:val="none" w:sz="0" w:space="0" w:color="auto"/>
      </w:divBdr>
    </w:div>
    <w:div w:id="480924804">
      <w:bodyDiv w:val="1"/>
      <w:marLeft w:val="0"/>
      <w:marRight w:val="0"/>
      <w:marTop w:val="0"/>
      <w:marBottom w:val="0"/>
      <w:divBdr>
        <w:top w:val="none" w:sz="0" w:space="0" w:color="auto"/>
        <w:left w:val="none" w:sz="0" w:space="0" w:color="auto"/>
        <w:bottom w:val="none" w:sz="0" w:space="0" w:color="auto"/>
        <w:right w:val="none" w:sz="0" w:space="0" w:color="auto"/>
      </w:divBdr>
    </w:div>
    <w:div w:id="490024252">
      <w:bodyDiv w:val="1"/>
      <w:marLeft w:val="0"/>
      <w:marRight w:val="0"/>
      <w:marTop w:val="0"/>
      <w:marBottom w:val="0"/>
      <w:divBdr>
        <w:top w:val="none" w:sz="0" w:space="0" w:color="auto"/>
        <w:left w:val="none" w:sz="0" w:space="0" w:color="auto"/>
        <w:bottom w:val="none" w:sz="0" w:space="0" w:color="auto"/>
        <w:right w:val="none" w:sz="0" w:space="0" w:color="auto"/>
      </w:divBdr>
    </w:div>
    <w:div w:id="494691319">
      <w:bodyDiv w:val="1"/>
      <w:marLeft w:val="0"/>
      <w:marRight w:val="0"/>
      <w:marTop w:val="0"/>
      <w:marBottom w:val="0"/>
      <w:divBdr>
        <w:top w:val="none" w:sz="0" w:space="0" w:color="auto"/>
        <w:left w:val="none" w:sz="0" w:space="0" w:color="auto"/>
        <w:bottom w:val="none" w:sz="0" w:space="0" w:color="auto"/>
        <w:right w:val="none" w:sz="0" w:space="0" w:color="auto"/>
      </w:divBdr>
    </w:div>
    <w:div w:id="495807748">
      <w:bodyDiv w:val="1"/>
      <w:marLeft w:val="0"/>
      <w:marRight w:val="0"/>
      <w:marTop w:val="0"/>
      <w:marBottom w:val="0"/>
      <w:divBdr>
        <w:top w:val="none" w:sz="0" w:space="0" w:color="auto"/>
        <w:left w:val="none" w:sz="0" w:space="0" w:color="auto"/>
        <w:bottom w:val="none" w:sz="0" w:space="0" w:color="auto"/>
        <w:right w:val="none" w:sz="0" w:space="0" w:color="auto"/>
      </w:divBdr>
    </w:div>
    <w:div w:id="539780839">
      <w:bodyDiv w:val="1"/>
      <w:marLeft w:val="0"/>
      <w:marRight w:val="0"/>
      <w:marTop w:val="0"/>
      <w:marBottom w:val="0"/>
      <w:divBdr>
        <w:top w:val="none" w:sz="0" w:space="0" w:color="auto"/>
        <w:left w:val="none" w:sz="0" w:space="0" w:color="auto"/>
        <w:bottom w:val="none" w:sz="0" w:space="0" w:color="auto"/>
        <w:right w:val="none" w:sz="0" w:space="0" w:color="auto"/>
      </w:divBdr>
    </w:div>
    <w:div w:id="548733542">
      <w:bodyDiv w:val="1"/>
      <w:marLeft w:val="0"/>
      <w:marRight w:val="0"/>
      <w:marTop w:val="0"/>
      <w:marBottom w:val="0"/>
      <w:divBdr>
        <w:top w:val="none" w:sz="0" w:space="0" w:color="auto"/>
        <w:left w:val="none" w:sz="0" w:space="0" w:color="auto"/>
        <w:bottom w:val="none" w:sz="0" w:space="0" w:color="auto"/>
        <w:right w:val="none" w:sz="0" w:space="0" w:color="auto"/>
      </w:divBdr>
    </w:div>
    <w:div w:id="556865311">
      <w:bodyDiv w:val="1"/>
      <w:marLeft w:val="0"/>
      <w:marRight w:val="0"/>
      <w:marTop w:val="0"/>
      <w:marBottom w:val="0"/>
      <w:divBdr>
        <w:top w:val="none" w:sz="0" w:space="0" w:color="auto"/>
        <w:left w:val="none" w:sz="0" w:space="0" w:color="auto"/>
        <w:bottom w:val="none" w:sz="0" w:space="0" w:color="auto"/>
        <w:right w:val="none" w:sz="0" w:space="0" w:color="auto"/>
      </w:divBdr>
    </w:div>
    <w:div w:id="561871599">
      <w:bodyDiv w:val="1"/>
      <w:marLeft w:val="0"/>
      <w:marRight w:val="0"/>
      <w:marTop w:val="0"/>
      <w:marBottom w:val="0"/>
      <w:divBdr>
        <w:top w:val="none" w:sz="0" w:space="0" w:color="auto"/>
        <w:left w:val="none" w:sz="0" w:space="0" w:color="auto"/>
        <w:bottom w:val="none" w:sz="0" w:space="0" w:color="auto"/>
        <w:right w:val="none" w:sz="0" w:space="0" w:color="auto"/>
      </w:divBdr>
    </w:div>
    <w:div w:id="577177246">
      <w:bodyDiv w:val="1"/>
      <w:marLeft w:val="0"/>
      <w:marRight w:val="0"/>
      <w:marTop w:val="0"/>
      <w:marBottom w:val="0"/>
      <w:divBdr>
        <w:top w:val="none" w:sz="0" w:space="0" w:color="auto"/>
        <w:left w:val="none" w:sz="0" w:space="0" w:color="auto"/>
        <w:bottom w:val="none" w:sz="0" w:space="0" w:color="auto"/>
        <w:right w:val="none" w:sz="0" w:space="0" w:color="auto"/>
      </w:divBdr>
    </w:div>
    <w:div w:id="586622946">
      <w:bodyDiv w:val="1"/>
      <w:marLeft w:val="0"/>
      <w:marRight w:val="0"/>
      <w:marTop w:val="0"/>
      <w:marBottom w:val="0"/>
      <w:divBdr>
        <w:top w:val="none" w:sz="0" w:space="0" w:color="auto"/>
        <w:left w:val="none" w:sz="0" w:space="0" w:color="auto"/>
        <w:bottom w:val="none" w:sz="0" w:space="0" w:color="auto"/>
        <w:right w:val="none" w:sz="0" w:space="0" w:color="auto"/>
      </w:divBdr>
    </w:div>
    <w:div w:id="592789261">
      <w:bodyDiv w:val="1"/>
      <w:marLeft w:val="0"/>
      <w:marRight w:val="0"/>
      <w:marTop w:val="0"/>
      <w:marBottom w:val="0"/>
      <w:divBdr>
        <w:top w:val="none" w:sz="0" w:space="0" w:color="auto"/>
        <w:left w:val="none" w:sz="0" w:space="0" w:color="auto"/>
        <w:bottom w:val="none" w:sz="0" w:space="0" w:color="auto"/>
        <w:right w:val="none" w:sz="0" w:space="0" w:color="auto"/>
      </w:divBdr>
    </w:div>
    <w:div w:id="595400840">
      <w:bodyDiv w:val="1"/>
      <w:marLeft w:val="0"/>
      <w:marRight w:val="0"/>
      <w:marTop w:val="0"/>
      <w:marBottom w:val="0"/>
      <w:divBdr>
        <w:top w:val="none" w:sz="0" w:space="0" w:color="auto"/>
        <w:left w:val="none" w:sz="0" w:space="0" w:color="auto"/>
        <w:bottom w:val="none" w:sz="0" w:space="0" w:color="auto"/>
        <w:right w:val="none" w:sz="0" w:space="0" w:color="auto"/>
      </w:divBdr>
    </w:div>
    <w:div w:id="597372959">
      <w:bodyDiv w:val="1"/>
      <w:marLeft w:val="0"/>
      <w:marRight w:val="0"/>
      <w:marTop w:val="0"/>
      <w:marBottom w:val="0"/>
      <w:divBdr>
        <w:top w:val="none" w:sz="0" w:space="0" w:color="auto"/>
        <w:left w:val="none" w:sz="0" w:space="0" w:color="auto"/>
        <w:bottom w:val="none" w:sz="0" w:space="0" w:color="auto"/>
        <w:right w:val="none" w:sz="0" w:space="0" w:color="auto"/>
      </w:divBdr>
    </w:div>
    <w:div w:id="601646778">
      <w:bodyDiv w:val="1"/>
      <w:marLeft w:val="0"/>
      <w:marRight w:val="0"/>
      <w:marTop w:val="0"/>
      <w:marBottom w:val="0"/>
      <w:divBdr>
        <w:top w:val="none" w:sz="0" w:space="0" w:color="auto"/>
        <w:left w:val="none" w:sz="0" w:space="0" w:color="auto"/>
        <w:bottom w:val="none" w:sz="0" w:space="0" w:color="auto"/>
        <w:right w:val="none" w:sz="0" w:space="0" w:color="auto"/>
      </w:divBdr>
    </w:div>
    <w:div w:id="626005873">
      <w:bodyDiv w:val="1"/>
      <w:marLeft w:val="0"/>
      <w:marRight w:val="0"/>
      <w:marTop w:val="0"/>
      <w:marBottom w:val="0"/>
      <w:divBdr>
        <w:top w:val="none" w:sz="0" w:space="0" w:color="auto"/>
        <w:left w:val="none" w:sz="0" w:space="0" w:color="auto"/>
        <w:bottom w:val="none" w:sz="0" w:space="0" w:color="auto"/>
        <w:right w:val="none" w:sz="0" w:space="0" w:color="auto"/>
      </w:divBdr>
    </w:div>
    <w:div w:id="631129696">
      <w:bodyDiv w:val="1"/>
      <w:marLeft w:val="0"/>
      <w:marRight w:val="0"/>
      <w:marTop w:val="0"/>
      <w:marBottom w:val="0"/>
      <w:divBdr>
        <w:top w:val="none" w:sz="0" w:space="0" w:color="auto"/>
        <w:left w:val="none" w:sz="0" w:space="0" w:color="auto"/>
        <w:bottom w:val="none" w:sz="0" w:space="0" w:color="auto"/>
        <w:right w:val="none" w:sz="0" w:space="0" w:color="auto"/>
      </w:divBdr>
    </w:div>
    <w:div w:id="632710518">
      <w:bodyDiv w:val="1"/>
      <w:marLeft w:val="0"/>
      <w:marRight w:val="0"/>
      <w:marTop w:val="0"/>
      <w:marBottom w:val="0"/>
      <w:divBdr>
        <w:top w:val="none" w:sz="0" w:space="0" w:color="auto"/>
        <w:left w:val="none" w:sz="0" w:space="0" w:color="auto"/>
        <w:bottom w:val="none" w:sz="0" w:space="0" w:color="auto"/>
        <w:right w:val="none" w:sz="0" w:space="0" w:color="auto"/>
      </w:divBdr>
    </w:div>
    <w:div w:id="650913077">
      <w:bodyDiv w:val="1"/>
      <w:marLeft w:val="0"/>
      <w:marRight w:val="0"/>
      <w:marTop w:val="0"/>
      <w:marBottom w:val="0"/>
      <w:divBdr>
        <w:top w:val="none" w:sz="0" w:space="0" w:color="auto"/>
        <w:left w:val="none" w:sz="0" w:space="0" w:color="auto"/>
        <w:bottom w:val="none" w:sz="0" w:space="0" w:color="auto"/>
        <w:right w:val="none" w:sz="0" w:space="0" w:color="auto"/>
      </w:divBdr>
    </w:div>
    <w:div w:id="696276665">
      <w:bodyDiv w:val="1"/>
      <w:marLeft w:val="0"/>
      <w:marRight w:val="0"/>
      <w:marTop w:val="0"/>
      <w:marBottom w:val="0"/>
      <w:divBdr>
        <w:top w:val="none" w:sz="0" w:space="0" w:color="auto"/>
        <w:left w:val="none" w:sz="0" w:space="0" w:color="auto"/>
        <w:bottom w:val="none" w:sz="0" w:space="0" w:color="auto"/>
        <w:right w:val="none" w:sz="0" w:space="0" w:color="auto"/>
      </w:divBdr>
    </w:div>
    <w:div w:id="705760839">
      <w:bodyDiv w:val="1"/>
      <w:marLeft w:val="0"/>
      <w:marRight w:val="0"/>
      <w:marTop w:val="0"/>
      <w:marBottom w:val="0"/>
      <w:divBdr>
        <w:top w:val="none" w:sz="0" w:space="0" w:color="auto"/>
        <w:left w:val="none" w:sz="0" w:space="0" w:color="auto"/>
        <w:bottom w:val="none" w:sz="0" w:space="0" w:color="auto"/>
        <w:right w:val="none" w:sz="0" w:space="0" w:color="auto"/>
      </w:divBdr>
    </w:div>
    <w:div w:id="712729073">
      <w:bodyDiv w:val="1"/>
      <w:marLeft w:val="0"/>
      <w:marRight w:val="0"/>
      <w:marTop w:val="0"/>
      <w:marBottom w:val="0"/>
      <w:divBdr>
        <w:top w:val="none" w:sz="0" w:space="0" w:color="auto"/>
        <w:left w:val="none" w:sz="0" w:space="0" w:color="auto"/>
        <w:bottom w:val="none" w:sz="0" w:space="0" w:color="auto"/>
        <w:right w:val="none" w:sz="0" w:space="0" w:color="auto"/>
      </w:divBdr>
    </w:div>
    <w:div w:id="719091743">
      <w:bodyDiv w:val="1"/>
      <w:marLeft w:val="0"/>
      <w:marRight w:val="0"/>
      <w:marTop w:val="0"/>
      <w:marBottom w:val="0"/>
      <w:divBdr>
        <w:top w:val="none" w:sz="0" w:space="0" w:color="auto"/>
        <w:left w:val="none" w:sz="0" w:space="0" w:color="auto"/>
        <w:bottom w:val="none" w:sz="0" w:space="0" w:color="auto"/>
        <w:right w:val="none" w:sz="0" w:space="0" w:color="auto"/>
      </w:divBdr>
    </w:div>
    <w:div w:id="729810002">
      <w:bodyDiv w:val="1"/>
      <w:marLeft w:val="0"/>
      <w:marRight w:val="0"/>
      <w:marTop w:val="0"/>
      <w:marBottom w:val="0"/>
      <w:divBdr>
        <w:top w:val="none" w:sz="0" w:space="0" w:color="auto"/>
        <w:left w:val="none" w:sz="0" w:space="0" w:color="auto"/>
        <w:bottom w:val="none" w:sz="0" w:space="0" w:color="auto"/>
        <w:right w:val="none" w:sz="0" w:space="0" w:color="auto"/>
      </w:divBdr>
    </w:div>
    <w:div w:id="755589556">
      <w:bodyDiv w:val="1"/>
      <w:marLeft w:val="0"/>
      <w:marRight w:val="0"/>
      <w:marTop w:val="0"/>
      <w:marBottom w:val="0"/>
      <w:divBdr>
        <w:top w:val="none" w:sz="0" w:space="0" w:color="auto"/>
        <w:left w:val="none" w:sz="0" w:space="0" w:color="auto"/>
        <w:bottom w:val="none" w:sz="0" w:space="0" w:color="auto"/>
        <w:right w:val="none" w:sz="0" w:space="0" w:color="auto"/>
      </w:divBdr>
    </w:div>
    <w:div w:id="794835894">
      <w:bodyDiv w:val="1"/>
      <w:marLeft w:val="0"/>
      <w:marRight w:val="0"/>
      <w:marTop w:val="0"/>
      <w:marBottom w:val="0"/>
      <w:divBdr>
        <w:top w:val="none" w:sz="0" w:space="0" w:color="auto"/>
        <w:left w:val="none" w:sz="0" w:space="0" w:color="auto"/>
        <w:bottom w:val="none" w:sz="0" w:space="0" w:color="auto"/>
        <w:right w:val="none" w:sz="0" w:space="0" w:color="auto"/>
      </w:divBdr>
    </w:div>
    <w:div w:id="806243701">
      <w:bodyDiv w:val="1"/>
      <w:marLeft w:val="0"/>
      <w:marRight w:val="0"/>
      <w:marTop w:val="0"/>
      <w:marBottom w:val="0"/>
      <w:divBdr>
        <w:top w:val="none" w:sz="0" w:space="0" w:color="auto"/>
        <w:left w:val="none" w:sz="0" w:space="0" w:color="auto"/>
        <w:bottom w:val="none" w:sz="0" w:space="0" w:color="auto"/>
        <w:right w:val="none" w:sz="0" w:space="0" w:color="auto"/>
      </w:divBdr>
    </w:div>
    <w:div w:id="807361371">
      <w:bodyDiv w:val="1"/>
      <w:marLeft w:val="0"/>
      <w:marRight w:val="0"/>
      <w:marTop w:val="0"/>
      <w:marBottom w:val="0"/>
      <w:divBdr>
        <w:top w:val="none" w:sz="0" w:space="0" w:color="auto"/>
        <w:left w:val="none" w:sz="0" w:space="0" w:color="auto"/>
        <w:bottom w:val="none" w:sz="0" w:space="0" w:color="auto"/>
        <w:right w:val="none" w:sz="0" w:space="0" w:color="auto"/>
      </w:divBdr>
    </w:div>
    <w:div w:id="808326179">
      <w:bodyDiv w:val="1"/>
      <w:marLeft w:val="0"/>
      <w:marRight w:val="0"/>
      <w:marTop w:val="0"/>
      <w:marBottom w:val="0"/>
      <w:divBdr>
        <w:top w:val="none" w:sz="0" w:space="0" w:color="auto"/>
        <w:left w:val="none" w:sz="0" w:space="0" w:color="auto"/>
        <w:bottom w:val="none" w:sz="0" w:space="0" w:color="auto"/>
        <w:right w:val="none" w:sz="0" w:space="0" w:color="auto"/>
      </w:divBdr>
    </w:div>
    <w:div w:id="825170534">
      <w:bodyDiv w:val="1"/>
      <w:marLeft w:val="0"/>
      <w:marRight w:val="0"/>
      <w:marTop w:val="0"/>
      <w:marBottom w:val="0"/>
      <w:divBdr>
        <w:top w:val="none" w:sz="0" w:space="0" w:color="auto"/>
        <w:left w:val="none" w:sz="0" w:space="0" w:color="auto"/>
        <w:bottom w:val="none" w:sz="0" w:space="0" w:color="auto"/>
        <w:right w:val="none" w:sz="0" w:space="0" w:color="auto"/>
      </w:divBdr>
    </w:div>
    <w:div w:id="827205938">
      <w:bodyDiv w:val="1"/>
      <w:marLeft w:val="0"/>
      <w:marRight w:val="0"/>
      <w:marTop w:val="0"/>
      <w:marBottom w:val="0"/>
      <w:divBdr>
        <w:top w:val="none" w:sz="0" w:space="0" w:color="auto"/>
        <w:left w:val="none" w:sz="0" w:space="0" w:color="auto"/>
        <w:bottom w:val="none" w:sz="0" w:space="0" w:color="auto"/>
        <w:right w:val="none" w:sz="0" w:space="0" w:color="auto"/>
      </w:divBdr>
    </w:div>
    <w:div w:id="871766810">
      <w:bodyDiv w:val="1"/>
      <w:marLeft w:val="0"/>
      <w:marRight w:val="0"/>
      <w:marTop w:val="0"/>
      <w:marBottom w:val="0"/>
      <w:divBdr>
        <w:top w:val="none" w:sz="0" w:space="0" w:color="auto"/>
        <w:left w:val="none" w:sz="0" w:space="0" w:color="auto"/>
        <w:bottom w:val="none" w:sz="0" w:space="0" w:color="auto"/>
        <w:right w:val="none" w:sz="0" w:space="0" w:color="auto"/>
      </w:divBdr>
    </w:div>
    <w:div w:id="877401650">
      <w:bodyDiv w:val="1"/>
      <w:marLeft w:val="0"/>
      <w:marRight w:val="0"/>
      <w:marTop w:val="0"/>
      <w:marBottom w:val="0"/>
      <w:divBdr>
        <w:top w:val="none" w:sz="0" w:space="0" w:color="auto"/>
        <w:left w:val="none" w:sz="0" w:space="0" w:color="auto"/>
        <w:bottom w:val="none" w:sz="0" w:space="0" w:color="auto"/>
        <w:right w:val="none" w:sz="0" w:space="0" w:color="auto"/>
      </w:divBdr>
    </w:div>
    <w:div w:id="915868065">
      <w:bodyDiv w:val="1"/>
      <w:marLeft w:val="0"/>
      <w:marRight w:val="0"/>
      <w:marTop w:val="0"/>
      <w:marBottom w:val="0"/>
      <w:divBdr>
        <w:top w:val="none" w:sz="0" w:space="0" w:color="auto"/>
        <w:left w:val="none" w:sz="0" w:space="0" w:color="auto"/>
        <w:bottom w:val="none" w:sz="0" w:space="0" w:color="auto"/>
        <w:right w:val="none" w:sz="0" w:space="0" w:color="auto"/>
      </w:divBdr>
    </w:div>
    <w:div w:id="971131389">
      <w:bodyDiv w:val="1"/>
      <w:marLeft w:val="0"/>
      <w:marRight w:val="0"/>
      <w:marTop w:val="0"/>
      <w:marBottom w:val="0"/>
      <w:divBdr>
        <w:top w:val="none" w:sz="0" w:space="0" w:color="auto"/>
        <w:left w:val="none" w:sz="0" w:space="0" w:color="auto"/>
        <w:bottom w:val="none" w:sz="0" w:space="0" w:color="auto"/>
        <w:right w:val="none" w:sz="0" w:space="0" w:color="auto"/>
      </w:divBdr>
    </w:div>
    <w:div w:id="988634661">
      <w:bodyDiv w:val="1"/>
      <w:marLeft w:val="0"/>
      <w:marRight w:val="0"/>
      <w:marTop w:val="0"/>
      <w:marBottom w:val="0"/>
      <w:divBdr>
        <w:top w:val="none" w:sz="0" w:space="0" w:color="auto"/>
        <w:left w:val="none" w:sz="0" w:space="0" w:color="auto"/>
        <w:bottom w:val="none" w:sz="0" w:space="0" w:color="auto"/>
        <w:right w:val="none" w:sz="0" w:space="0" w:color="auto"/>
      </w:divBdr>
    </w:div>
    <w:div w:id="991979484">
      <w:bodyDiv w:val="1"/>
      <w:marLeft w:val="0"/>
      <w:marRight w:val="0"/>
      <w:marTop w:val="0"/>
      <w:marBottom w:val="0"/>
      <w:divBdr>
        <w:top w:val="none" w:sz="0" w:space="0" w:color="auto"/>
        <w:left w:val="none" w:sz="0" w:space="0" w:color="auto"/>
        <w:bottom w:val="none" w:sz="0" w:space="0" w:color="auto"/>
        <w:right w:val="none" w:sz="0" w:space="0" w:color="auto"/>
      </w:divBdr>
    </w:div>
    <w:div w:id="1006709769">
      <w:bodyDiv w:val="1"/>
      <w:marLeft w:val="0"/>
      <w:marRight w:val="0"/>
      <w:marTop w:val="0"/>
      <w:marBottom w:val="0"/>
      <w:divBdr>
        <w:top w:val="none" w:sz="0" w:space="0" w:color="auto"/>
        <w:left w:val="none" w:sz="0" w:space="0" w:color="auto"/>
        <w:bottom w:val="none" w:sz="0" w:space="0" w:color="auto"/>
        <w:right w:val="none" w:sz="0" w:space="0" w:color="auto"/>
      </w:divBdr>
    </w:div>
    <w:div w:id="1017735791">
      <w:bodyDiv w:val="1"/>
      <w:marLeft w:val="0"/>
      <w:marRight w:val="0"/>
      <w:marTop w:val="0"/>
      <w:marBottom w:val="0"/>
      <w:divBdr>
        <w:top w:val="none" w:sz="0" w:space="0" w:color="auto"/>
        <w:left w:val="none" w:sz="0" w:space="0" w:color="auto"/>
        <w:bottom w:val="none" w:sz="0" w:space="0" w:color="auto"/>
        <w:right w:val="none" w:sz="0" w:space="0" w:color="auto"/>
      </w:divBdr>
    </w:div>
    <w:div w:id="1072239125">
      <w:bodyDiv w:val="1"/>
      <w:marLeft w:val="0"/>
      <w:marRight w:val="0"/>
      <w:marTop w:val="0"/>
      <w:marBottom w:val="0"/>
      <w:divBdr>
        <w:top w:val="none" w:sz="0" w:space="0" w:color="auto"/>
        <w:left w:val="none" w:sz="0" w:space="0" w:color="auto"/>
        <w:bottom w:val="none" w:sz="0" w:space="0" w:color="auto"/>
        <w:right w:val="none" w:sz="0" w:space="0" w:color="auto"/>
      </w:divBdr>
    </w:div>
    <w:div w:id="1099377510">
      <w:bodyDiv w:val="1"/>
      <w:marLeft w:val="0"/>
      <w:marRight w:val="0"/>
      <w:marTop w:val="0"/>
      <w:marBottom w:val="0"/>
      <w:divBdr>
        <w:top w:val="none" w:sz="0" w:space="0" w:color="auto"/>
        <w:left w:val="none" w:sz="0" w:space="0" w:color="auto"/>
        <w:bottom w:val="none" w:sz="0" w:space="0" w:color="auto"/>
        <w:right w:val="none" w:sz="0" w:space="0" w:color="auto"/>
      </w:divBdr>
    </w:div>
    <w:div w:id="1121529847">
      <w:bodyDiv w:val="1"/>
      <w:marLeft w:val="0"/>
      <w:marRight w:val="0"/>
      <w:marTop w:val="0"/>
      <w:marBottom w:val="0"/>
      <w:divBdr>
        <w:top w:val="none" w:sz="0" w:space="0" w:color="auto"/>
        <w:left w:val="none" w:sz="0" w:space="0" w:color="auto"/>
        <w:bottom w:val="none" w:sz="0" w:space="0" w:color="auto"/>
        <w:right w:val="none" w:sz="0" w:space="0" w:color="auto"/>
      </w:divBdr>
    </w:div>
    <w:div w:id="1124423298">
      <w:bodyDiv w:val="1"/>
      <w:marLeft w:val="0"/>
      <w:marRight w:val="0"/>
      <w:marTop w:val="0"/>
      <w:marBottom w:val="0"/>
      <w:divBdr>
        <w:top w:val="none" w:sz="0" w:space="0" w:color="auto"/>
        <w:left w:val="none" w:sz="0" w:space="0" w:color="auto"/>
        <w:bottom w:val="none" w:sz="0" w:space="0" w:color="auto"/>
        <w:right w:val="none" w:sz="0" w:space="0" w:color="auto"/>
      </w:divBdr>
    </w:div>
    <w:div w:id="1135685308">
      <w:bodyDiv w:val="1"/>
      <w:marLeft w:val="0"/>
      <w:marRight w:val="0"/>
      <w:marTop w:val="0"/>
      <w:marBottom w:val="0"/>
      <w:divBdr>
        <w:top w:val="none" w:sz="0" w:space="0" w:color="auto"/>
        <w:left w:val="none" w:sz="0" w:space="0" w:color="auto"/>
        <w:bottom w:val="none" w:sz="0" w:space="0" w:color="auto"/>
        <w:right w:val="none" w:sz="0" w:space="0" w:color="auto"/>
      </w:divBdr>
    </w:div>
    <w:div w:id="1141078603">
      <w:bodyDiv w:val="1"/>
      <w:marLeft w:val="0"/>
      <w:marRight w:val="0"/>
      <w:marTop w:val="0"/>
      <w:marBottom w:val="0"/>
      <w:divBdr>
        <w:top w:val="none" w:sz="0" w:space="0" w:color="auto"/>
        <w:left w:val="none" w:sz="0" w:space="0" w:color="auto"/>
        <w:bottom w:val="none" w:sz="0" w:space="0" w:color="auto"/>
        <w:right w:val="none" w:sz="0" w:space="0" w:color="auto"/>
      </w:divBdr>
    </w:div>
    <w:div w:id="1144202234">
      <w:bodyDiv w:val="1"/>
      <w:marLeft w:val="0"/>
      <w:marRight w:val="0"/>
      <w:marTop w:val="0"/>
      <w:marBottom w:val="0"/>
      <w:divBdr>
        <w:top w:val="none" w:sz="0" w:space="0" w:color="auto"/>
        <w:left w:val="none" w:sz="0" w:space="0" w:color="auto"/>
        <w:bottom w:val="none" w:sz="0" w:space="0" w:color="auto"/>
        <w:right w:val="none" w:sz="0" w:space="0" w:color="auto"/>
      </w:divBdr>
    </w:div>
    <w:div w:id="1152255931">
      <w:bodyDiv w:val="1"/>
      <w:marLeft w:val="0"/>
      <w:marRight w:val="0"/>
      <w:marTop w:val="0"/>
      <w:marBottom w:val="0"/>
      <w:divBdr>
        <w:top w:val="none" w:sz="0" w:space="0" w:color="auto"/>
        <w:left w:val="none" w:sz="0" w:space="0" w:color="auto"/>
        <w:bottom w:val="none" w:sz="0" w:space="0" w:color="auto"/>
        <w:right w:val="none" w:sz="0" w:space="0" w:color="auto"/>
      </w:divBdr>
    </w:div>
    <w:div w:id="1154878094">
      <w:bodyDiv w:val="1"/>
      <w:marLeft w:val="0"/>
      <w:marRight w:val="0"/>
      <w:marTop w:val="0"/>
      <w:marBottom w:val="0"/>
      <w:divBdr>
        <w:top w:val="none" w:sz="0" w:space="0" w:color="auto"/>
        <w:left w:val="none" w:sz="0" w:space="0" w:color="auto"/>
        <w:bottom w:val="none" w:sz="0" w:space="0" w:color="auto"/>
        <w:right w:val="none" w:sz="0" w:space="0" w:color="auto"/>
      </w:divBdr>
    </w:div>
    <w:div w:id="1196962292">
      <w:bodyDiv w:val="1"/>
      <w:marLeft w:val="0"/>
      <w:marRight w:val="0"/>
      <w:marTop w:val="0"/>
      <w:marBottom w:val="0"/>
      <w:divBdr>
        <w:top w:val="none" w:sz="0" w:space="0" w:color="auto"/>
        <w:left w:val="none" w:sz="0" w:space="0" w:color="auto"/>
        <w:bottom w:val="none" w:sz="0" w:space="0" w:color="auto"/>
        <w:right w:val="none" w:sz="0" w:space="0" w:color="auto"/>
      </w:divBdr>
    </w:div>
    <w:div w:id="1211570057">
      <w:bodyDiv w:val="1"/>
      <w:marLeft w:val="0"/>
      <w:marRight w:val="0"/>
      <w:marTop w:val="0"/>
      <w:marBottom w:val="0"/>
      <w:divBdr>
        <w:top w:val="none" w:sz="0" w:space="0" w:color="auto"/>
        <w:left w:val="none" w:sz="0" w:space="0" w:color="auto"/>
        <w:bottom w:val="none" w:sz="0" w:space="0" w:color="auto"/>
        <w:right w:val="none" w:sz="0" w:space="0" w:color="auto"/>
      </w:divBdr>
    </w:div>
    <w:div w:id="1223635675">
      <w:bodyDiv w:val="1"/>
      <w:marLeft w:val="0"/>
      <w:marRight w:val="0"/>
      <w:marTop w:val="0"/>
      <w:marBottom w:val="0"/>
      <w:divBdr>
        <w:top w:val="none" w:sz="0" w:space="0" w:color="auto"/>
        <w:left w:val="none" w:sz="0" w:space="0" w:color="auto"/>
        <w:bottom w:val="none" w:sz="0" w:space="0" w:color="auto"/>
        <w:right w:val="none" w:sz="0" w:space="0" w:color="auto"/>
      </w:divBdr>
    </w:div>
    <w:div w:id="1228107495">
      <w:bodyDiv w:val="1"/>
      <w:marLeft w:val="0"/>
      <w:marRight w:val="0"/>
      <w:marTop w:val="0"/>
      <w:marBottom w:val="0"/>
      <w:divBdr>
        <w:top w:val="none" w:sz="0" w:space="0" w:color="auto"/>
        <w:left w:val="none" w:sz="0" w:space="0" w:color="auto"/>
        <w:bottom w:val="none" w:sz="0" w:space="0" w:color="auto"/>
        <w:right w:val="none" w:sz="0" w:space="0" w:color="auto"/>
      </w:divBdr>
    </w:div>
    <w:div w:id="1232279017">
      <w:bodyDiv w:val="1"/>
      <w:marLeft w:val="0"/>
      <w:marRight w:val="0"/>
      <w:marTop w:val="0"/>
      <w:marBottom w:val="0"/>
      <w:divBdr>
        <w:top w:val="none" w:sz="0" w:space="0" w:color="auto"/>
        <w:left w:val="none" w:sz="0" w:space="0" w:color="auto"/>
        <w:bottom w:val="none" w:sz="0" w:space="0" w:color="auto"/>
        <w:right w:val="none" w:sz="0" w:space="0" w:color="auto"/>
      </w:divBdr>
    </w:div>
    <w:div w:id="1260599126">
      <w:bodyDiv w:val="1"/>
      <w:marLeft w:val="0"/>
      <w:marRight w:val="0"/>
      <w:marTop w:val="0"/>
      <w:marBottom w:val="0"/>
      <w:divBdr>
        <w:top w:val="none" w:sz="0" w:space="0" w:color="auto"/>
        <w:left w:val="none" w:sz="0" w:space="0" w:color="auto"/>
        <w:bottom w:val="none" w:sz="0" w:space="0" w:color="auto"/>
        <w:right w:val="none" w:sz="0" w:space="0" w:color="auto"/>
      </w:divBdr>
    </w:div>
    <w:div w:id="1262303652">
      <w:bodyDiv w:val="1"/>
      <w:marLeft w:val="0"/>
      <w:marRight w:val="0"/>
      <w:marTop w:val="0"/>
      <w:marBottom w:val="0"/>
      <w:divBdr>
        <w:top w:val="none" w:sz="0" w:space="0" w:color="auto"/>
        <w:left w:val="none" w:sz="0" w:space="0" w:color="auto"/>
        <w:bottom w:val="none" w:sz="0" w:space="0" w:color="auto"/>
        <w:right w:val="none" w:sz="0" w:space="0" w:color="auto"/>
      </w:divBdr>
    </w:div>
    <w:div w:id="1268729507">
      <w:bodyDiv w:val="1"/>
      <w:marLeft w:val="0"/>
      <w:marRight w:val="0"/>
      <w:marTop w:val="0"/>
      <w:marBottom w:val="0"/>
      <w:divBdr>
        <w:top w:val="none" w:sz="0" w:space="0" w:color="auto"/>
        <w:left w:val="none" w:sz="0" w:space="0" w:color="auto"/>
        <w:bottom w:val="none" w:sz="0" w:space="0" w:color="auto"/>
        <w:right w:val="none" w:sz="0" w:space="0" w:color="auto"/>
      </w:divBdr>
    </w:div>
    <w:div w:id="1272130958">
      <w:bodyDiv w:val="1"/>
      <w:marLeft w:val="0"/>
      <w:marRight w:val="0"/>
      <w:marTop w:val="0"/>
      <w:marBottom w:val="0"/>
      <w:divBdr>
        <w:top w:val="none" w:sz="0" w:space="0" w:color="auto"/>
        <w:left w:val="none" w:sz="0" w:space="0" w:color="auto"/>
        <w:bottom w:val="none" w:sz="0" w:space="0" w:color="auto"/>
        <w:right w:val="none" w:sz="0" w:space="0" w:color="auto"/>
      </w:divBdr>
    </w:div>
    <w:div w:id="1295018640">
      <w:bodyDiv w:val="1"/>
      <w:marLeft w:val="0"/>
      <w:marRight w:val="0"/>
      <w:marTop w:val="0"/>
      <w:marBottom w:val="0"/>
      <w:divBdr>
        <w:top w:val="none" w:sz="0" w:space="0" w:color="auto"/>
        <w:left w:val="none" w:sz="0" w:space="0" w:color="auto"/>
        <w:bottom w:val="none" w:sz="0" w:space="0" w:color="auto"/>
        <w:right w:val="none" w:sz="0" w:space="0" w:color="auto"/>
      </w:divBdr>
    </w:div>
    <w:div w:id="1303542420">
      <w:bodyDiv w:val="1"/>
      <w:marLeft w:val="0"/>
      <w:marRight w:val="0"/>
      <w:marTop w:val="0"/>
      <w:marBottom w:val="0"/>
      <w:divBdr>
        <w:top w:val="none" w:sz="0" w:space="0" w:color="auto"/>
        <w:left w:val="none" w:sz="0" w:space="0" w:color="auto"/>
        <w:bottom w:val="none" w:sz="0" w:space="0" w:color="auto"/>
        <w:right w:val="none" w:sz="0" w:space="0" w:color="auto"/>
      </w:divBdr>
    </w:div>
    <w:div w:id="1323043319">
      <w:bodyDiv w:val="1"/>
      <w:marLeft w:val="0"/>
      <w:marRight w:val="0"/>
      <w:marTop w:val="0"/>
      <w:marBottom w:val="0"/>
      <w:divBdr>
        <w:top w:val="none" w:sz="0" w:space="0" w:color="auto"/>
        <w:left w:val="none" w:sz="0" w:space="0" w:color="auto"/>
        <w:bottom w:val="none" w:sz="0" w:space="0" w:color="auto"/>
        <w:right w:val="none" w:sz="0" w:space="0" w:color="auto"/>
      </w:divBdr>
    </w:div>
    <w:div w:id="1346978309">
      <w:bodyDiv w:val="1"/>
      <w:marLeft w:val="0"/>
      <w:marRight w:val="0"/>
      <w:marTop w:val="0"/>
      <w:marBottom w:val="0"/>
      <w:divBdr>
        <w:top w:val="none" w:sz="0" w:space="0" w:color="auto"/>
        <w:left w:val="none" w:sz="0" w:space="0" w:color="auto"/>
        <w:bottom w:val="none" w:sz="0" w:space="0" w:color="auto"/>
        <w:right w:val="none" w:sz="0" w:space="0" w:color="auto"/>
      </w:divBdr>
    </w:div>
    <w:div w:id="1357192021">
      <w:bodyDiv w:val="1"/>
      <w:marLeft w:val="0"/>
      <w:marRight w:val="0"/>
      <w:marTop w:val="0"/>
      <w:marBottom w:val="0"/>
      <w:divBdr>
        <w:top w:val="none" w:sz="0" w:space="0" w:color="auto"/>
        <w:left w:val="none" w:sz="0" w:space="0" w:color="auto"/>
        <w:bottom w:val="none" w:sz="0" w:space="0" w:color="auto"/>
        <w:right w:val="none" w:sz="0" w:space="0" w:color="auto"/>
      </w:divBdr>
    </w:div>
    <w:div w:id="1371301641">
      <w:bodyDiv w:val="1"/>
      <w:marLeft w:val="0"/>
      <w:marRight w:val="0"/>
      <w:marTop w:val="0"/>
      <w:marBottom w:val="0"/>
      <w:divBdr>
        <w:top w:val="none" w:sz="0" w:space="0" w:color="auto"/>
        <w:left w:val="none" w:sz="0" w:space="0" w:color="auto"/>
        <w:bottom w:val="none" w:sz="0" w:space="0" w:color="auto"/>
        <w:right w:val="none" w:sz="0" w:space="0" w:color="auto"/>
      </w:divBdr>
    </w:div>
    <w:div w:id="1374311981">
      <w:bodyDiv w:val="1"/>
      <w:marLeft w:val="0"/>
      <w:marRight w:val="0"/>
      <w:marTop w:val="0"/>
      <w:marBottom w:val="0"/>
      <w:divBdr>
        <w:top w:val="none" w:sz="0" w:space="0" w:color="auto"/>
        <w:left w:val="none" w:sz="0" w:space="0" w:color="auto"/>
        <w:bottom w:val="none" w:sz="0" w:space="0" w:color="auto"/>
        <w:right w:val="none" w:sz="0" w:space="0" w:color="auto"/>
      </w:divBdr>
    </w:div>
    <w:div w:id="1392734090">
      <w:bodyDiv w:val="1"/>
      <w:marLeft w:val="0"/>
      <w:marRight w:val="0"/>
      <w:marTop w:val="0"/>
      <w:marBottom w:val="0"/>
      <w:divBdr>
        <w:top w:val="none" w:sz="0" w:space="0" w:color="auto"/>
        <w:left w:val="none" w:sz="0" w:space="0" w:color="auto"/>
        <w:bottom w:val="none" w:sz="0" w:space="0" w:color="auto"/>
        <w:right w:val="none" w:sz="0" w:space="0" w:color="auto"/>
      </w:divBdr>
    </w:div>
    <w:div w:id="1410468499">
      <w:bodyDiv w:val="1"/>
      <w:marLeft w:val="0"/>
      <w:marRight w:val="0"/>
      <w:marTop w:val="0"/>
      <w:marBottom w:val="0"/>
      <w:divBdr>
        <w:top w:val="none" w:sz="0" w:space="0" w:color="auto"/>
        <w:left w:val="none" w:sz="0" w:space="0" w:color="auto"/>
        <w:bottom w:val="none" w:sz="0" w:space="0" w:color="auto"/>
        <w:right w:val="none" w:sz="0" w:space="0" w:color="auto"/>
      </w:divBdr>
    </w:div>
    <w:div w:id="1412503928">
      <w:bodyDiv w:val="1"/>
      <w:marLeft w:val="0"/>
      <w:marRight w:val="0"/>
      <w:marTop w:val="0"/>
      <w:marBottom w:val="0"/>
      <w:divBdr>
        <w:top w:val="none" w:sz="0" w:space="0" w:color="auto"/>
        <w:left w:val="none" w:sz="0" w:space="0" w:color="auto"/>
        <w:bottom w:val="none" w:sz="0" w:space="0" w:color="auto"/>
        <w:right w:val="none" w:sz="0" w:space="0" w:color="auto"/>
      </w:divBdr>
    </w:div>
    <w:div w:id="1420256520">
      <w:bodyDiv w:val="1"/>
      <w:marLeft w:val="0"/>
      <w:marRight w:val="0"/>
      <w:marTop w:val="0"/>
      <w:marBottom w:val="0"/>
      <w:divBdr>
        <w:top w:val="none" w:sz="0" w:space="0" w:color="auto"/>
        <w:left w:val="none" w:sz="0" w:space="0" w:color="auto"/>
        <w:bottom w:val="none" w:sz="0" w:space="0" w:color="auto"/>
        <w:right w:val="none" w:sz="0" w:space="0" w:color="auto"/>
      </w:divBdr>
    </w:div>
    <w:div w:id="1430157491">
      <w:bodyDiv w:val="1"/>
      <w:marLeft w:val="0"/>
      <w:marRight w:val="0"/>
      <w:marTop w:val="0"/>
      <w:marBottom w:val="0"/>
      <w:divBdr>
        <w:top w:val="none" w:sz="0" w:space="0" w:color="auto"/>
        <w:left w:val="none" w:sz="0" w:space="0" w:color="auto"/>
        <w:bottom w:val="none" w:sz="0" w:space="0" w:color="auto"/>
        <w:right w:val="none" w:sz="0" w:space="0" w:color="auto"/>
      </w:divBdr>
    </w:div>
    <w:div w:id="1440638051">
      <w:bodyDiv w:val="1"/>
      <w:marLeft w:val="0"/>
      <w:marRight w:val="0"/>
      <w:marTop w:val="0"/>
      <w:marBottom w:val="0"/>
      <w:divBdr>
        <w:top w:val="none" w:sz="0" w:space="0" w:color="auto"/>
        <w:left w:val="none" w:sz="0" w:space="0" w:color="auto"/>
        <w:bottom w:val="none" w:sz="0" w:space="0" w:color="auto"/>
        <w:right w:val="none" w:sz="0" w:space="0" w:color="auto"/>
      </w:divBdr>
    </w:div>
    <w:div w:id="1467157595">
      <w:bodyDiv w:val="1"/>
      <w:marLeft w:val="0"/>
      <w:marRight w:val="0"/>
      <w:marTop w:val="0"/>
      <w:marBottom w:val="0"/>
      <w:divBdr>
        <w:top w:val="none" w:sz="0" w:space="0" w:color="auto"/>
        <w:left w:val="none" w:sz="0" w:space="0" w:color="auto"/>
        <w:bottom w:val="none" w:sz="0" w:space="0" w:color="auto"/>
        <w:right w:val="none" w:sz="0" w:space="0" w:color="auto"/>
      </w:divBdr>
    </w:div>
    <w:div w:id="1480147315">
      <w:bodyDiv w:val="1"/>
      <w:marLeft w:val="0"/>
      <w:marRight w:val="0"/>
      <w:marTop w:val="0"/>
      <w:marBottom w:val="0"/>
      <w:divBdr>
        <w:top w:val="none" w:sz="0" w:space="0" w:color="auto"/>
        <w:left w:val="none" w:sz="0" w:space="0" w:color="auto"/>
        <w:bottom w:val="none" w:sz="0" w:space="0" w:color="auto"/>
        <w:right w:val="none" w:sz="0" w:space="0" w:color="auto"/>
      </w:divBdr>
    </w:div>
    <w:div w:id="1486386993">
      <w:bodyDiv w:val="1"/>
      <w:marLeft w:val="0"/>
      <w:marRight w:val="0"/>
      <w:marTop w:val="0"/>
      <w:marBottom w:val="0"/>
      <w:divBdr>
        <w:top w:val="none" w:sz="0" w:space="0" w:color="auto"/>
        <w:left w:val="none" w:sz="0" w:space="0" w:color="auto"/>
        <w:bottom w:val="none" w:sz="0" w:space="0" w:color="auto"/>
        <w:right w:val="none" w:sz="0" w:space="0" w:color="auto"/>
      </w:divBdr>
    </w:div>
    <w:div w:id="1494838431">
      <w:bodyDiv w:val="1"/>
      <w:marLeft w:val="0"/>
      <w:marRight w:val="0"/>
      <w:marTop w:val="0"/>
      <w:marBottom w:val="0"/>
      <w:divBdr>
        <w:top w:val="none" w:sz="0" w:space="0" w:color="auto"/>
        <w:left w:val="none" w:sz="0" w:space="0" w:color="auto"/>
        <w:bottom w:val="none" w:sz="0" w:space="0" w:color="auto"/>
        <w:right w:val="none" w:sz="0" w:space="0" w:color="auto"/>
      </w:divBdr>
    </w:div>
    <w:div w:id="1503929111">
      <w:bodyDiv w:val="1"/>
      <w:marLeft w:val="0"/>
      <w:marRight w:val="0"/>
      <w:marTop w:val="0"/>
      <w:marBottom w:val="0"/>
      <w:divBdr>
        <w:top w:val="none" w:sz="0" w:space="0" w:color="auto"/>
        <w:left w:val="none" w:sz="0" w:space="0" w:color="auto"/>
        <w:bottom w:val="none" w:sz="0" w:space="0" w:color="auto"/>
        <w:right w:val="none" w:sz="0" w:space="0" w:color="auto"/>
      </w:divBdr>
    </w:div>
    <w:div w:id="1509832978">
      <w:bodyDiv w:val="1"/>
      <w:marLeft w:val="0"/>
      <w:marRight w:val="0"/>
      <w:marTop w:val="0"/>
      <w:marBottom w:val="0"/>
      <w:divBdr>
        <w:top w:val="none" w:sz="0" w:space="0" w:color="auto"/>
        <w:left w:val="none" w:sz="0" w:space="0" w:color="auto"/>
        <w:bottom w:val="none" w:sz="0" w:space="0" w:color="auto"/>
        <w:right w:val="none" w:sz="0" w:space="0" w:color="auto"/>
      </w:divBdr>
    </w:div>
    <w:div w:id="1568228380">
      <w:bodyDiv w:val="1"/>
      <w:marLeft w:val="0"/>
      <w:marRight w:val="0"/>
      <w:marTop w:val="0"/>
      <w:marBottom w:val="0"/>
      <w:divBdr>
        <w:top w:val="none" w:sz="0" w:space="0" w:color="auto"/>
        <w:left w:val="none" w:sz="0" w:space="0" w:color="auto"/>
        <w:bottom w:val="none" w:sz="0" w:space="0" w:color="auto"/>
        <w:right w:val="none" w:sz="0" w:space="0" w:color="auto"/>
      </w:divBdr>
    </w:div>
    <w:div w:id="1579821652">
      <w:bodyDiv w:val="1"/>
      <w:marLeft w:val="0"/>
      <w:marRight w:val="0"/>
      <w:marTop w:val="0"/>
      <w:marBottom w:val="0"/>
      <w:divBdr>
        <w:top w:val="none" w:sz="0" w:space="0" w:color="auto"/>
        <w:left w:val="none" w:sz="0" w:space="0" w:color="auto"/>
        <w:bottom w:val="none" w:sz="0" w:space="0" w:color="auto"/>
        <w:right w:val="none" w:sz="0" w:space="0" w:color="auto"/>
      </w:divBdr>
    </w:div>
    <w:div w:id="1609966493">
      <w:bodyDiv w:val="1"/>
      <w:marLeft w:val="0"/>
      <w:marRight w:val="0"/>
      <w:marTop w:val="0"/>
      <w:marBottom w:val="0"/>
      <w:divBdr>
        <w:top w:val="none" w:sz="0" w:space="0" w:color="auto"/>
        <w:left w:val="none" w:sz="0" w:space="0" w:color="auto"/>
        <w:bottom w:val="none" w:sz="0" w:space="0" w:color="auto"/>
        <w:right w:val="none" w:sz="0" w:space="0" w:color="auto"/>
      </w:divBdr>
    </w:div>
    <w:div w:id="1621568222">
      <w:bodyDiv w:val="1"/>
      <w:marLeft w:val="0"/>
      <w:marRight w:val="0"/>
      <w:marTop w:val="0"/>
      <w:marBottom w:val="0"/>
      <w:divBdr>
        <w:top w:val="none" w:sz="0" w:space="0" w:color="auto"/>
        <w:left w:val="none" w:sz="0" w:space="0" w:color="auto"/>
        <w:bottom w:val="none" w:sz="0" w:space="0" w:color="auto"/>
        <w:right w:val="none" w:sz="0" w:space="0" w:color="auto"/>
      </w:divBdr>
    </w:div>
    <w:div w:id="1624844951">
      <w:bodyDiv w:val="1"/>
      <w:marLeft w:val="0"/>
      <w:marRight w:val="0"/>
      <w:marTop w:val="0"/>
      <w:marBottom w:val="0"/>
      <w:divBdr>
        <w:top w:val="none" w:sz="0" w:space="0" w:color="auto"/>
        <w:left w:val="none" w:sz="0" w:space="0" w:color="auto"/>
        <w:bottom w:val="none" w:sz="0" w:space="0" w:color="auto"/>
        <w:right w:val="none" w:sz="0" w:space="0" w:color="auto"/>
      </w:divBdr>
    </w:div>
    <w:div w:id="1639258573">
      <w:bodyDiv w:val="1"/>
      <w:marLeft w:val="0"/>
      <w:marRight w:val="0"/>
      <w:marTop w:val="0"/>
      <w:marBottom w:val="0"/>
      <w:divBdr>
        <w:top w:val="none" w:sz="0" w:space="0" w:color="auto"/>
        <w:left w:val="none" w:sz="0" w:space="0" w:color="auto"/>
        <w:bottom w:val="none" w:sz="0" w:space="0" w:color="auto"/>
        <w:right w:val="none" w:sz="0" w:space="0" w:color="auto"/>
      </w:divBdr>
    </w:div>
    <w:div w:id="1642928114">
      <w:bodyDiv w:val="1"/>
      <w:marLeft w:val="0"/>
      <w:marRight w:val="0"/>
      <w:marTop w:val="0"/>
      <w:marBottom w:val="0"/>
      <w:divBdr>
        <w:top w:val="none" w:sz="0" w:space="0" w:color="auto"/>
        <w:left w:val="none" w:sz="0" w:space="0" w:color="auto"/>
        <w:bottom w:val="none" w:sz="0" w:space="0" w:color="auto"/>
        <w:right w:val="none" w:sz="0" w:space="0" w:color="auto"/>
      </w:divBdr>
    </w:div>
    <w:div w:id="1645232261">
      <w:bodyDiv w:val="1"/>
      <w:marLeft w:val="0"/>
      <w:marRight w:val="0"/>
      <w:marTop w:val="0"/>
      <w:marBottom w:val="0"/>
      <w:divBdr>
        <w:top w:val="none" w:sz="0" w:space="0" w:color="auto"/>
        <w:left w:val="none" w:sz="0" w:space="0" w:color="auto"/>
        <w:bottom w:val="none" w:sz="0" w:space="0" w:color="auto"/>
        <w:right w:val="none" w:sz="0" w:space="0" w:color="auto"/>
      </w:divBdr>
    </w:div>
    <w:div w:id="1662655930">
      <w:bodyDiv w:val="1"/>
      <w:marLeft w:val="0"/>
      <w:marRight w:val="0"/>
      <w:marTop w:val="0"/>
      <w:marBottom w:val="0"/>
      <w:divBdr>
        <w:top w:val="none" w:sz="0" w:space="0" w:color="auto"/>
        <w:left w:val="none" w:sz="0" w:space="0" w:color="auto"/>
        <w:bottom w:val="none" w:sz="0" w:space="0" w:color="auto"/>
        <w:right w:val="none" w:sz="0" w:space="0" w:color="auto"/>
      </w:divBdr>
    </w:div>
    <w:div w:id="1665670345">
      <w:bodyDiv w:val="1"/>
      <w:marLeft w:val="0"/>
      <w:marRight w:val="0"/>
      <w:marTop w:val="0"/>
      <w:marBottom w:val="0"/>
      <w:divBdr>
        <w:top w:val="none" w:sz="0" w:space="0" w:color="auto"/>
        <w:left w:val="none" w:sz="0" w:space="0" w:color="auto"/>
        <w:bottom w:val="none" w:sz="0" w:space="0" w:color="auto"/>
        <w:right w:val="none" w:sz="0" w:space="0" w:color="auto"/>
      </w:divBdr>
    </w:div>
    <w:div w:id="1666739490">
      <w:bodyDiv w:val="1"/>
      <w:marLeft w:val="0"/>
      <w:marRight w:val="0"/>
      <w:marTop w:val="0"/>
      <w:marBottom w:val="0"/>
      <w:divBdr>
        <w:top w:val="none" w:sz="0" w:space="0" w:color="auto"/>
        <w:left w:val="none" w:sz="0" w:space="0" w:color="auto"/>
        <w:bottom w:val="none" w:sz="0" w:space="0" w:color="auto"/>
        <w:right w:val="none" w:sz="0" w:space="0" w:color="auto"/>
      </w:divBdr>
    </w:div>
    <w:div w:id="1675300981">
      <w:bodyDiv w:val="1"/>
      <w:marLeft w:val="0"/>
      <w:marRight w:val="0"/>
      <w:marTop w:val="0"/>
      <w:marBottom w:val="0"/>
      <w:divBdr>
        <w:top w:val="none" w:sz="0" w:space="0" w:color="auto"/>
        <w:left w:val="none" w:sz="0" w:space="0" w:color="auto"/>
        <w:bottom w:val="none" w:sz="0" w:space="0" w:color="auto"/>
        <w:right w:val="none" w:sz="0" w:space="0" w:color="auto"/>
      </w:divBdr>
    </w:div>
    <w:div w:id="1692027210">
      <w:bodyDiv w:val="1"/>
      <w:marLeft w:val="0"/>
      <w:marRight w:val="0"/>
      <w:marTop w:val="0"/>
      <w:marBottom w:val="0"/>
      <w:divBdr>
        <w:top w:val="none" w:sz="0" w:space="0" w:color="auto"/>
        <w:left w:val="none" w:sz="0" w:space="0" w:color="auto"/>
        <w:bottom w:val="none" w:sz="0" w:space="0" w:color="auto"/>
        <w:right w:val="none" w:sz="0" w:space="0" w:color="auto"/>
      </w:divBdr>
    </w:div>
    <w:div w:id="1692609825">
      <w:bodyDiv w:val="1"/>
      <w:marLeft w:val="0"/>
      <w:marRight w:val="0"/>
      <w:marTop w:val="0"/>
      <w:marBottom w:val="0"/>
      <w:divBdr>
        <w:top w:val="none" w:sz="0" w:space="0" w:color="auto"/>
        <w:left w:val="none" w:sz="0" w:space="0" w:color="auto"/>
        <w:bottom w:val="none" w:sz="0" w:space="0" w:color="auto"/>
        <w:right w:val="none" w:sz="0" w:space="0" w:color="auto"/>
      </w:divBdr>
    </w:div>
    <w:div w:id="1707177665">
      <w:bodyDiv w:val="1"/>
      <w:marLeft w:val="0"/>
      <w:marRight w:val="0"/>
      <w:marTop w:val="0"/>
      <w:marBottom w:val="0"/>
      <w:divBdr>
        <w:top w:val="none" w:sz="0" w:space="0" w:color="auto"/>
        <w:left w:val="none" w:sz="0" w:space="0" w:color="auto"/>
        <w:bottom w:val="none" w:sz="0" w:space="0" w:color="auto"/>
        <w:right w:val="none" w:sz="0" w:space="0" w:color="auto"/>
      </w:divBdr>
    </w:div>
    <w:div w:id="1715690266">
      <w:bodyDiv w:val="1"/>
      <w:marLeft w:val="0"/>
      <w:marRight w:val="0"/>
      <w:marTop w:val="0"/>
      <w:marBottom w:val="0"/>
      <w:divBdr>
        <w:top w:val="none" w:sz="0" w:space="0" w:color="auto"/>
        <w:left w:val="none" w:sz="0" w:space="0" w:color="auto"/>
        <w:bottom w:val="none" w:sz="0" w:space="0" w:color="auto"/>
        <w:right w:val="none" w:sz="0" w:space="0" w:color="auto"/>
      </w:divBdr>
    </w:div>
    <w:div w:id="1726638192">
      <w:bodyDiv w:val="1"/>
      <w:marLeft w:val="0"/>
      <w:marRight w:val="0"/>
      <w:marTop w:val="0"/>
      <w:marBottom w:val="0"/>
      <w:divBdr>
        <w:top w:val="none" w:sz="0" w:space="0" w:color="auto"/>
        <w:left w:val="none" w:sz="0" w:space="0" w:color="auto"/>
        <w:bottom w:val="none" w:sz="0" w:space="0" w:color="auto"/>
        <w:right w:val="none" w:sz="0" w:space="0" w:color="auto"/>
      </w:divBdr>
    </w:div>
    <w:div w:id="1731147829">
      <w:bodyDiv w:val="1"/>
      <w:marLeft w:val="0"/>
      <w:marRight w:val="0"/>
      <w:marTop w:val="0"/>
      <w:marBottom w:val="0"/>
      <w:divBdr>
        <w:top w:val="none" w:sz="0" w:space="0" w:color="auto"/>
        <w:left w:val="none" w:sz="0" w:space="0" w:color="auto"/>
        <w:bottom w:val="none" w:sz="0" w:space="0" w:color="auto"/>
        <w:right w:val="none" w:sz="0" w:space="0" w:color="auto"/>
      </w:divBdr>
    </w:div>
    <w:div w:id="1736853012">
      <w:bodyDiv w:val="1"/>
      <w:marLeft w:val="0"/>
      <w:marRight w:val="0"/>
      <w:marTop w:val="0"/>
      <w:marBottom w:val="0"/>
      <w:divBdr>
        <w:top w:val="none" w:sz="0" w:space="0" w:color="auto"/>
        <w:left w:val="none" w:sz="0" w:space="0" w:color="auto"/>
        <w:bottom w:val="none" w:sz="0" w:space="0" w:color="auto"/>
        <w:right w:val="none" w:sz="0" w:space="0" w:color="auto"/>
      </w:divBdr>
    </w:div>
    <w:div w:id="1742755336">
      <w:bodyDiv w:val="1"/>
      <w:marLeft w:val="0"/>
      <w:marRight w:val="0"/>
      <w:marTop w:val="0"/>
      <w:marBottom w:val="0"/>
      <w:divBdr>
        <w:top w:val="none" w:sz="0" w:space="0" w:color="auto"/>
        <w:left w:val="none" w:sz="0" w:space="0" w:color="auto"/>
        <w:bottom w:val="none" w:sz="0" w:space="0" w:color="auto"/>
        <w:right w:val="none" w:sz="0" w:space="0" w:color="auto"/>
      </w:divBdr>
    </w:div>
    <w:div w:id="1758939152">
      <w:bodyDiv w:val="1"/>
      <w:marLeft w:val="0"/>
      <w:marRight w:val="0"/>
      <w:marTop w:val="0"/>
      <w:marBottom w:val="0"/>
      <w:divBdr>
        <w:top w:val="none" w:sz="0" w:space="0" w:color="auto"/>
        <w:left w:val="none" w:sz="0" w:space="0" w:color="auto"/>
        <w:bottom w:val="none" w:sz="0" w:space="0" w:color="auto"/>
        <w:right w:val="none" w:sz="0" w:space="0" w:color="auto"/>
      </w:divBdr>
    </w:div>
    <w:div w:id="1762723056">
      <w:bodyDiv w:val="1"/>
      <w:marLeft w:val="0"/>
      <w:marRight w:val="0"/>
      <w:marTop w:val="0"/>
      <w:marBottom w:val="0"/>
      <w:divBdr>
        <w:top w:val="none" w:sz="0" w:space="0" w:color="auto"/>
        <w:left w:val="none" w:sz="0" w:space="0" w:color="auto"/>
        <w:bottom w:val="none" w:sz="0" w:space="0" w:color="auto"/>
        <w:right w:val="none" w:sz="0" w:space="0" w:color="auto"/>
      </w:divBdr>
      <w:divsChild>
        <w:div w:id="184369067">
          <w:marLeft w:val="0"/>
          <w:marRight w:val="0"/>
          <w:marTop w:val="0"/>
          <w:marBottom w:val="0"/>
          <w:divBdr>
            <w:top w:val="none" w:sz="0" w:space="0" w:color="auto"/>
            <w:left w:val="none" w:sz="0" w:space="0" w:color="auto"/>
            <w:bottom w:val="none" w:sz="0" w:space="0" w:color="auto"/>
            <w:right w:val="none" w:sz="0" w:space="0" w:color="auto"/>
          </w:divBdr>
        </w:div>
        <w:div w:id="505900805">
          <w:marLeft w:val="0"/>
          <w:marRight w:val="0"/>
          <w:marTop w:val="0"/>
          <w:marBottom w:val="0"/>
          <w:divBdr>
            <w:top w:val="none" w:sz="0" w:space="0" w:color="auto"/>
            <w:left w:val="none" w:sz="0" w:space="0" w:color="auto"/>
            <w:bottom w:val="none" w:sz="0" w:space="0" w:color="auto"/>
            <w:right w:val="none" w:sz="0" w:space="0" w:color="auto"/>
          </w:divBdr>
        </w:div>
        <w:div w:id="938102181">
          <w:marLeft w:val="0"/>
          <w:marRight w:val="0"/>
          <w:marTop w:val="0"/>
          <w:marBottom w:val="0"/>
          <w:divBdr>
            <w:top w:val="none" w:sz="0" w:space="0" w:color="auto"/>
            <w:left w:val="none" w:sz="0" w:space="0" w:color="auto"/>
            <w:bottom w:val="none" w:sz="0" w:space="0" w:color="auto"/>
            <w:right w:val="none" w:sz="0" w:space="0" w:color="auto"/>
          </w:divBdr>
        </w:div>
        <w:div w:id="1544749175">
          <w:marLeft w:val="0"/>
          <w:marRight w:val="0"/>
          <w:marTop w:val="0"/>
          <w:marBottom w:val="0"/>
          <w:divBdr>
            <w:top w:val="none" w:sz="0" w:space="0" w:color="auto"/>
            <w:left w:val="none" w:sz="0" w:space="0" w:color="auto"/>
            <w:bottom w:val="none" w:sz="0" w:space="0" w:color="auto"/>
            <w:right w:val="none" w:sz="0" w:space="0" w:color="auto"/>
          </w:divBdr>
        </w:div>
      </w:divsChild>
    </w:div>
    <w:div w:id="1772621344">
      <w:bodyDiv w:val="1"/>
      <w:marLeft w:val="0"/>
      <w:marRight w:val="0"/>
      <w:marTop w:val="0"/>
      <w:marBottom w:val="0"/>
      <w:divBdr>
        <w:top w:val="none" w:sz="0" w:space="0" w:color="auto"/>
        <w:left w:val="none" w:sz="0" w:space="0" w:color="auto"/>
        <w:bottom w:val="none" w:sz="0" w:space="0" w:color="auto"/>
        <w:right w:val="none" w:sz="0" w:space="0" w:color="auto"/>
      </w:divBdr>
    </w:div>
    <w:div w:id="1778326950">
      <w:bodyDiv w:val="1"/>
      <w:marLeft w:val="0"/>
      <w:marRight w:val="0"/>
      <w:marTop w:val="0"/>
      <w:marBottom w:val="0"/>
      <w:divBdr>
        <w:top w:val="none" w:sz="0" w:space="0" w:color="auto"/>
        <w:left w:val="none" w:sz="0" w:space="0" w:color="auto"/>
        <w:bottom w:val="none" w:sz="0" w:space="0" w:color="auto"/>
        <w:right w:val="none" w:sz="0" w:space="0" w:color="auto"/>
      </w:divBdr>
    </w:div>
    <w:div w:id="1782534964">
      <w:bodyDiv w:val="1"/>
      <w:marLeft w:val="0"/>
      <w:marRight w:val="0"/>
      <w:marTop w:val="0"/>
      <w:marBottom w:val="0"/>
      <w:divBdr>
        <w:top w:val="none" w:sz="0" w:space="0" w:color="auto"/>
        <w:left w:val="none" w:sz="0" w:space="0" w:color="auto"/>
        <w:bottom w:val="none" w:sz="0" w:space="0" w:color="auto"/>
        <w:right w:val="none" w:sz="0" w:space="0" w:color="auto"/>
      </w:divBdr>
    </w:div>
    <w:div w:id="1799641180">
      <w:bodyDiv w:val="1"/>
      <w:marLeft w:val="0"/>
      <w:marRight w:val="0"/>
      <w:marTop w:val="0"/>
      <w:marBottom w:val="0"/>
      <w:divBdr>
        <w:top w:val="none" w:sz="0" w:space="0" w:color="auto"/>
        <w:left w:val="none" w:sz="0" w:space="0" w:color="auto"/>
        <w:bottom w:val="none" w:sz="0" w:space="0" w:color="auto"/>
        <w:right w:val="none" w:sz="0" w:space="0" w:color="auto"/>
      </w:divBdr>
    </w:div>
    <w:div w:id="1807042178">
      <w:bodyDiv w:val="1"/>
      <w:marLeft w:val="0"/>
      <w:marRight w:val="0"/>
      <w:marTop w:val="0"/>
      <w:marBottom w:val="0"/>
      <w:divBdr>
        <w:top w:val="none" w:sz="0" w:space="0" w:color="auto"/>
        <w:left w:val="none" w:sz="0" w:space="0" w:color="auto"/>
        <w:bottom w:val="none" w:sz="0" w:space="0" w:color="auto"/>
        <w:right w:val="none" w:sz="0" w:space="0" w:color="auto"/>
      </w:divBdr>
    </w:div>
    <w:div w:id="1823236641">
      <w:bodyDiv w:val="1"/>
      <w:marLeft w:val="0"/>
      <w:marRight w:val="0"/>
      <w:marTop w:val="0"/>
      <w:marBottom w:val="0"/>
      <w:divBdr>
        <w:top w:val="none" w:sz="0" w:space="0" w:color="auto"/>
        <w:left w:val="none" w:sz="0" w:space="0" w:color="auto"/>
        <w:bottom w:val="none" w:sz="0" w:space="0" w:color="auto"/>
        <w:right w:val="none" w:sz="0" w:space="0" w:color="auto"/>
      </w:divBdr>
    </w:div>
    <w:div w:id="1827503755">
      <w:bodyDiv w:val="1"/>
      <w:marLeft w:val="0"/>
      <w:marRight w:val="0"/>
      <w:marTop w:val="0"/>
      <w:marBottom w:val="0"/>
      <w:divBdr>
        <w:top w:val="none" w:sz="0" w:space="0" w:color="auto"/>
        <w:left w:val="none" w:sz="0" w:space="0" w:color="auto"/>
        <w:bottom w:val="none" w:sz="0" w:space="0" w:color="auto"/>
        <w:right w:val="none" w:sz="0" w:space="0" w:color="auto"/>
      </w:divBdr>
    </w:div>
    <w:div w:id="1831943609">
      <w:bodyDiv w:val="1"/>
      <w:marLeft w:val="0"/>
      <w:marRight w:val="0"/>
      <w:marTop w:val="0"/>
      <w:marBottom w:val="0"/>
      <w:divBdr>
        <w:top w:val="none" w:sz="0" w:space="0" w:color="auto"/>
        <w:left w:val="none" w:sz="0" w:space="0" w:color="auto"/>
        <w:bottom w:val="none" w:sz="0" w:space="0" w:color="auto"/>
        <w:right w:val="none" w:sz="0" w:space="0" w:color="auto"/>
      </w:divBdr>
    </w:div>
    <w:div w:id="1847819265">
      <w:bodyDiv w:val="1"/>
      <w:marLeft w:val="0"/>
      <w:marRight w:val="0"/>
      <w:marTop w:val="0"/>
      <w:marBottom w:val="0"/>
      <w:divBdr>
        <w:top w:val="none" w:sz="0" w:space="0" w:color="auto"/>
        <w:left w:val="none" w:sz="0" w:space="0" w:color="auto"/>
        <w:bottom w:val="none" w:sz="0" w:space="0" w:color="auto"/>
        <w:right w:val="none" w:sz="0" w:space="0" w:color="auto"/>
      </w:divBdr>
    </w:div>
    <w:div w:id="1864897527">
      <w:bodyDiv w:val="1"/>
      <w:marLeft w:val="0"/>
      <w:marRight w:val="0"/>
      <w:marTop w:val="0"/>
      <w:marBottom w:val="0"/>
      <w:divBdr>
        <w:top w:val="none" w:sz="0" w:space="0" w:color="auto"/>
        <w:left w:val="none" w:sz="0" w:space="0" w:color="auto"/>
        <w:bottom w:val="none" w:sz="0" w:space="0" w:color="auto"/>
        <w:right w:val="none" w:sz="0" w:space="0" w:color="auto"/>
      </w:divBdr>
    </w:div>
    <w:div w:id="1865093934">
      <w:bodyDiv w:val="1"/>
      <w:marLeft w:val="0"/>
      <w:marRight w:val="0"/>
      <w:marTop w:val="0"/>
      <w:marBottom w:val="0"/>
      <w:divBdr>
        <w:top w:val="none" w:sz="0" w:space="0" w:color="auto"/>
        <w:left w:val="none" w:sz="0" w:space="0" w:color="auto"/>
        <w:bottom w:val="none" w:sz="0" w:space="0" w:color="auto"/>
        <w:right w:val="none" w:sz="0" w:space="0" w:color="auto"/>
      </w:divBdr>
    </w:div>
    <w:div w:id="1886214492">
      <w:bodyDiv w:val="1"/>
      <w:marLeft w:val="0"/>
      <w:marRight w:val="0"/>
      <w:marTop w:val="0"/>
      <w:marBottom w:val="0"/>
      <w:divBdr>
        <w:top w:val="none" w:sz="0" w:space="0" w:color="auto"/>
        <w:left w:val="none" w:sz="0" w:space="0" w:color="auto"/>
        <w:bottom w:val="none" w:sz="0" w:space="0" w:color="auto"/>
        <w:right w:val="none" w:sz="0" w:space="0" w:color="auto"/>
      </w:divBdr>
    </w:div>
    <w:div w:id="1939361406">
      <w:bodyDiv w:val="1"/>
      <w:marLeft w:val="0"/>
      <w:marRight w:val="0"/>
      <w:marTop w:val="0"/>
      <w:marBottom w:val="0"/>
      <w:divBdr>
        <w:top w:val="none" w:sz="0" w:space="0" w:color="auto"/>
        <w:left w:val="none" w:sz="0" w:space="0" w:color="auto"/>
        <w:bottom w:val="none" w:sz="0" w:space="0" w:color="auto"/>
        <w:right w:val="none" w:sz="0" w:space="0" w:color="auto"/>
      </w:divBdr>
    </w:div>
    <w:div w:id="1959798533">
      <w:bodyDiv w:val="1"/>
      <w:marLeft w:val="0"/>
      <w:marRight w:val="0"/>
      <w:marTop w:val="0"/>
      <w:marBottom w:val="0"/>
      <w:divBdr>
        <w:top w:val="none" w:sz="0" w:space="0" w:color="auto"/>
        <w:left w:val="none" w:sz="0" w:space="0" w:color="auto"/>
        <w:bottom w:val="none" w:sz="0" w:space="0" w:color="auto"/>
        <w:right w:val="none" w:sz="0" w:space="0" w:color="auto"/>
      </w:divBdr>
    </w:div>
    <w:div w:id="1963263720">
      <w:bodyDiv w:val="1"/>
      <w:marLeft w:val="0"/>
      <w:marRight w:val="0"/>
      <w:marTop w:val="0"/>
      <w:marBottom w:val="0"/>
      <w:divBdr>
        <w:top w:val="none" w:sz="0" w:space="0" w:color="auto"/>
        <w:left w:val="none" w:sz="0" w:space="0" w:color="auto"/>
        <w:bottom w:val="none" w:sz="0" w:space="0" w:color="auto"/>
        <w:right w:val="none" w:sz="0" w:space="0" w:color="auto"/>
      </w:divBdr>
    </w:div>
    <w:div w:id="1975524994">
      <w:bodyDiv w:val="1"/>
      <w:marLeft w:val="0"/>
      <w:marRight w:val="0"/>
      <w:marTop w:val="0"/>
      <w:marBottom w:val="0"/>
      <w:divBdr>
        <w:top w:val="none" w:sz="0" w:space="0" w:color="auto"/>
        <w:left w:val="none" w:sz="0" w:space="0" w:color="auto"/>
        <w:bottom w:val="none" w:sz="0" w:space="0" w:color="auto"/>
        <w:right w:val="none" w:sz="0" w:space="0" w:color="auto"/>
      </w:divBdr>
    </w:div>
    <w:div w:id="1976325896">
      <w:bodyDiv w:val="1"/>
      <w:marLeft w:val="0"/>
      <w:marRight w:val="0"/>
      <w:marTop w:val="0"/>
      <w:marBottom w:val="0"/>
      <w:divBdr>
        <w:top w:val="none" w:sz="0" w:space="0" w:color="auto"/>
        <w:left w:val="none" w:sz="0" w:space="0" w:color="auto"/>
        <w:bottom w:val="none" w:sz="0" w:space="0" w:color="auto"/>
        <w:right w:val="none" w:sz="0" w:space="0" w:color="auto"/>
      </w:divBdr>
    </w:div>
    <w:div w:id="1994522954">
      <w:bodyDiv w:val="1"/>
      <w:marLeft w:val="0"/>
      <w:marRight w:val="0"/>
      <w:marTop w:val="0"/>
      <w:marBottom w:val="0"/>
      <w:divBdr>
        <w:top w:val="none" w:sz="0" w:space="0" w:color="auto"/>
        <w:left w:val="none" w:sz="0" w:space="0" w:color="auto"/>
        <w:bottom w:val="none" w:sz="0" w:space="0" w:color="auto"/>
        <w:right w:val="none" w:sz="0" w:space="0" w:color="auto"/>
      </w:divBdr>
    </w:div>
    <w:div w:id="2008628227">
      <w:bodyDiv w:val="1"/>
      <w:marLeft w:val="0"/>
      <w:marRight w:val="0"/>
      <w:marTop w:val="0"/>
      <w:marBottom w:val="0"/>
      <w:divBdr>
        <w:top w:val="none" w:sz="0" w:space="0" w:color="auto"/>
        <w:left w:val="none" w:sz="0" w:space="0" w:color="auto"/>
        <w:bottom w:val="none" w:sz="0" w:space="0" w:color="auto"/>
        <w:right w:val="none" w:sz="0" w:space="0" w:color="auto"/>
      </w:divBdr>
    </w:div>
    <w:div w:id="2025203457">
      <w:bodyDiv w:val="1"/>
      <w:marLeft w:val="0"/>
      <w:marRight w:val="0"/>
      <w:marTop w:val="0"/>
      <w:marBottom w:val="0"/>
      <w:divBdr>
        <w:top w:val="none" w:sz="0" w:space="0" w:color="auto"/>
        <w:left w:val="none" w:sz="0" w:space="0" w:color="auto"/>
        <w:bottom w:val="none" w:sz="0" w:space="0" w:color="auto"/>
        <w:right w:val="none" w:sz="0" w:space="0" w:color="auto"/>
      </w:divBdr>
    </w:div>
    <w:div w:id="2031300640">
      <w:bodyDiv w:val="1"/>
      <w:marLeft w:val="0"/>
      <w:marRight w:val="0"/>
      <w:marTop w:val="0"/>
      <w:marBottom w:val="0"/>
      <w:divBdr>
        <w:top w:val="none" w:sz="0" w:space="0" w:color="auto"/>
        <w:left w:val="none" w:sz="0" w:space="0" w:color="auto"/>
        <w:bottom w:val="none" w:sz="0" w:space="0" w:color="auto"/>
        <w:right w:val="none" w:sz="0" w:space="0" w:color="auto"/>
      </w:divBdr>
    </w:div>
    <w:div w:id="2054845638">
      <w:bodyDiv w:val="1"/>
      <w:marLeft w:val="0"/>
      <w:marRight w:val="0"/>
      <w:marTop w:val="0"/>
      <w:marBottom w:val="0"/>
      <w:divBdr>
        <w:top w:val="none" w:sz="0" w:space="0" w:color="auto"/>
        <w:left w:val="none" w:sz="0" w:space="0" w:color="auto"/>
        <w:bottom w:val="none" w:sz="0" w:space="0" w:color="auto"/>
        <w:right w:val="none" w:sz="0" w:space="0" w:color="auto"/>
      </w:divBdr>
    </w:div>
    <w:div w:id="2078627142">
      <w:bodyDiv w:val="1"/>
      <w:marLeft w:val="0"/>
      <w:marRight w:val="0"/>
      <w:marTop w:val="0"/>
      <w:marBottom w:val="0"/>
      <w:divBdr>
        <w:top w:val="none" w:sz="0" w:space="0" w:color="auto"/>
        <w:left w:val="none" w:sz="0" w:space="0" w:color="auto"/>
        <w:bottom w:val="none" w:sz="0" w:space="0" w:color="auto"/>
        <w:right w:val="none" w:sz="0" w:space="0" w:color="auto"/>
      </w:divBdr>
    </w:div>
    <w:div w:id="2085833670">
      <w:bodyDiv w:val="1"/>
      <w:marLeft w:val="0"/>
      <w:marRight w:val="0"/>
      <w:marTop w:val="0"/>
      <w:marBottom w:val="0"/>
      <w:divBdr>
        <w:top w:val="none" w:sz="0" w:space="0" w:color="auto"/>
        <w:left w:val="none" w:sz="0" w:space="0" w:color="auto"/>
        <w:bottom w:val="none" w:sz="0" w:space="0" w:color="auto"/>
        <w:right w:val="none" w:sz="0" w:space="0" w:color="auto"/>
      </w:divBdr>
    </w:div>
    <w:div w:id="2086417192">
      <w:bodyDiv w:val="1"/>
      <w:marLeft w:val="0"/>
      <w:marRight w:val="0"/>
      <w:marTop w:val="0"/>
      <w:marBottom w:val="0"/>
      <w:divBdr>
        <w:top w:val="none" w:sz="0" w:space="0" w:color="auto"/>
        <w:left w:val="none" w:sz="0" w:space="0" w:color="auto"/>
        <w:bottom w:val="none" w:sz="0" w:space="0" w:color="auto"/>
        <w:right w:val="none" w:sz="0" w:space="0" w:color="auto"/>
      </w:divBdr>
    </w:div>
    <w:div w:id="2088528325">
      <w:bodyDiv w:val="1"/>
      <w:marLeft w:val="0"/>
      <w:marRight w:val="0"/>
      <w:marTop w:val="0"/>
      <w:marBottom w:val="0"/>
      <w:divBdr>
        <w:top w:val="none" w:sz="0" w:space="0" w:color="auto"/>
        <w:left w:val="none" w:sz="0" w:space="0" w:color="auto"/>
        <w:bottom w:val="none" w:sz="0" w:space="0" w:color="auto"/>
        <w:right w:val="none" w:sz="0" w:space="0" w:color="auto"/>
      </w:divBdr>
    </w:div>
    <w:div w:id="2095934563">
      <w:bodyDiv w:val="1"/>
      <w:marLeft w:val="0"/>
      <w:marRight w:val="0"/>
      <w:marTop w:val="0"/>
      <w:marBottom w:val="0"/>
      <w:divBdr>
        <w:top w:val="none" w:sz="0" w:space="0" w:color="auto"/>
        <w:left w:val="none" w:sz="0" w:space="0" w:color="auto"/>
        <w:bottom w:val="none" w:sz="0" w:space="0" w:color="auto"/>
        <w:right w:val="none" w:sz="0" w:space="0" w:color="auto"/>
      </w:divBdr>
    </w:div>
    <w:div w:id="2115204314">
      <w:bodyDiv w:val="1"/>
      <w:marLeft w:val="0"/>
      <w:marRight w:val="0"/>
      <w:marTop w:val="0"/>
      <w:marBottom w:val="0"/>
      <w:divBdr>
        <w:top w:val="none" w:sz="0" w:space="0" w:color="auto"/>
        <w:left w:val="none" w:sz="0" w:space="0" w:color="auto"/>
        <w:bottom w:val="none" w:sz="0" w:space="0" w:color="auto"/>
        <w:right w:val="none" w:sz="0" w:space="0" w:color="auto"/>
      </w:divBdr>
      <w:divsChild>
        <w:div w:id="1085609989">
          <w:marLeft w:val="0"/>
          <w:marRight w:val="0"/>
          <w:marTop w:val="0"/>
          <w:marBottom w:val="0"/>
          <w:divBdr>
            <w:top w:val="none" w:sz="0" w:space="0" w:color="auto"/>
            <w:left w:val="none" w:sz="0" w:space="0" w:color="auto"/>
            <w:bottom w:val="none" w:sz="0" w:space="0" w:color="auto"/>
            <w:right w:val="none" w:sz="0" w:space="0" w:color="auto"/>
          </w:divBdr>
        </w:div>
        <w:div w:id="1970477493">
          <w:marLeft w:val="0"/>
          <w:marRight w:val="0"/>
          <w:marTop w:val="0"/>
          <w:marBottom w:val="0"/>
          <w:divBdr>
            <w:top w:val="none" w:sz="0" w:space="0" w:color="auto"/>
            <w:left w:val="none" w:sz="0" w:space="0" w:color="auto"/>
            <w:bottom w:val="none" w:sz="0" w:space="0" w:color="auto"/>
            <w:right w:val="none" w:sz="0" w:space="0" w:color="auto"/>
          </w:divBdr>
        </w:div>
        <w:div w:id="852769341">
          <w:marLeft w:val="0"/>
          <w:marRight w:val="0"/>
          <w:marTop w:val="0"/>
          <w:marBottom w:val="0"/>
          <w:divBdr>
            <w:top w:val="none" w:sz="0" w:space="0" w:color="auto"/>
            <w:left w:val="none" w:sz="0" w:space="0" w:color="auto"/>
            <w:bottom w:val="none" w:sz="0" w:space="0" w:color="auto"/>
            <w:right w:val="none" w:sz="0" w:space="0" w:color="auto"/>
          </w:divBdr>
        </w:div>
        <w:div w:id="1123647130">
          <w:marLeft w:val="0"/>
          <w:marRight w:val="0"/>
          <w:marTop w:val="0"/>
          <w:marBottom w:val="0"/>
          <w:divBdr>
            <w:top w:val="none" w:sz="0" w:space="0" w:color="auto"/>
            <w:left w:val="none" w:sz="0" w:space="0" w:color="auto"/>
            <w:bottom w:val="none" w:sz="0" w:space="0" w:color="auto"/>
            <w:right w:val="none" w:sz="0" w:space="0" w:color="auto"/>
          </w:divBdr>
        </w:div>
      </w:divsChild>
    </w:div>
    <w:div w:id="2120292293">
      <w:bodyDiv w:val="1"/>
      <w:marLeft w:val="0"/>
      <w:marRight w:val="0"/>
      <w:marTop w:val="0"/>
      <w:marBottom w:val="0"/>
      <w:divBdr>
        <w:top w:val="none" w:sz="0" w:space="0" w:color="auto"/>
        <w:left w:val="none" w:sz="0" w:space="0" w:color="auto"/>
        <w:bottom w:val="none" w:sz="0" w:space="0" w:color="auto"/>
        <w:right w:val="none" w:sz="0" w:space="0" w:color="auto"/>
      </w:divBdr>
    </w:div>
    <w:div w:id="2122647864">
      <w:bodyDiv w:val="1"/>
      <w:marLeft w:val="0"/>
      <w:marRight w:val="0"/>
      <w:marTop w:val="0"/>
      <w:marBottom w:val="0"/>
      <w:divBdr>
        <w:top w:val="none" w:sz="0" w:space="0" w:color="auto"/>
        <w:left w:val="none" w:sz="0" w:space="0" w:color="auto"/>
        <w:bottom w:val="none" w:sz="0" w:space="0" w:color="auto"/>
        <w:right w:val="none" w:sz="0" w:space="0" w:color="auto"/>
      </w:divBdr>
    </w:div>
    <w:div w:id="2128618783">
      <w:bodyDiv w:val="1"/>
      <w:marLeft w:val="0"/>
      <w:marRight w:val="0"/>
      <w:marTop w:val="0"/>
      <w:marBottom w:val="0"/>
      <w:divBdr>
        <w:top w:val="none" w:sz="0" w:space="0" w:color="auto"/>
        <w:left w:val="none" w:sz="0" w:space="0" w:color="auto"/>
        <w:bottom w:val="none" w:sz="0" w:space="0" w:color="auto"/>
        <w:right w:val="none" w:sz="0" w:space="0" w:color="auto"/>
      </w:divBdr>
    </w:div>
    <w:div w:id="2141071085">
      <w:bodyDiv w:val="1"/>
      <w:marLeft w:val="0"/>
      <w:marRight w:val="0"/>
      <w:marTop w:val="0"/>
      <w:marBottom w:val="0"/>
      <w:divBdr>
        <w:top w:val="none" w:sz="0" w:space="0" w:color="auto"/>
        <w:left w:val="none" w:sz="0" w:space="0" w:color="auto"/>
        <w:bottom w:val="none" w:sz="0" w:space="0" w:color="auto"/>
        <w:right w:val="none" w:sz="0" w:space="0" w:color="auto"/>
      </w:divBdr>
    </w:div>
    <w:div w:id="2145850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cninfo.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188</Pages>
  <Words>24707</Words>
  <Characters>140835</Characters>
  <Application>Microsoft Office Word</Application>
  <DocSecurity>0</DocSecurity>
  <Lines>1173</Lines>
  <Paragraphs>330</Paragraphs>
  <ScaleCrop>false</ScaleCrop>
  <Company/>
  <LinksUpToDate>false</LinksUpToDate>
  <CharactersWithSpaces>165212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徐佳君</dc:creator>
  <cp:lastModifiedBy>Administrator</cp:lastModifiedBy>
  <cp:revision>96</cp:revision>
  <cp:lastPrinted>2025-04-17T07:01:00Z</cp:lastPrinted>
  <dcterms:created xsi:type="dcterms:W3CDTF">2025-04-10T02:51:00Z</dcterms:created>
  <dcterms:modified xsi:type="dcterms:W3CDTF">2025-04-21T01:20:00Z</dcterms:modified>
</cp:coreProperties>
</file>